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8BA06" w14:textId="77777777" w:rsidR="00457513" w:rsidRPr="00AC42A1" w:rsidRDefault="00457513" w:rsidP="00EE35FD">
      <w:pPr>
        <w:jc w:val="both"/>
        <w:rPr>
          <w:rFonts w:ascii="Palatino Linotype" w:hAnsi="Palatino Linotype"/>
          <w:sz w:val="24"/>
          <w:szCs w:val="24"/>
        </w:rPr>
      </w:pPr>
    </w:p>
    <w:p w14:paraId="630DB532" w14:textId="2B19A772" w:rsidR="00457513" w:rsidRPr="00A7606C" w:rsidRDefault="00457513" w:rsidP="000F1898">
      <w:pPr>
        <w:jc w:val="center"/>
        <w:rPr>
          <w:rFonts w:ascii="Palatino Linotype" w:hAnsi="Palatino Linotype"/>
          <w:sz w:val="26"/>
          <w:szCs w:val="26"/>
        </w:rPr>
      </w:pPr>
      <w:r w:rsidRPr="00A7606C">
        <w:rPr>
          <w:rFonts w:ascii="Palatino Linotype" w:hAnsi="Palatino Linotype"/>
          <w:sz w:val="26"/>
          <w:szCs w:val="26"/>
        </w:rPr>
        <w:t xml:space="preserve">Explanatory note for self-assessment for the investment project with compliance of the climate change objective under </w:t>
      </w:r>
      <w:r w:rsidR="00AC42A1" w:rsidRPr="00A7606C">
        <w:rPr>
          <w:rFonts w:ascii="Palatino Linotype" w:hAnsi="Palatino Linotype"/>
          <w:sz w:val="26"/>
          <w:szCs w:val="26"/>
        </w:rPr>
        <w:t>“D</w:t>
      </w:r>
      <w:r w:rsidRPr="00A7606C">
        <w:rPr>
          <w:rFonts w:ascii="Palatino Linotype" w:hAnsi="Palatino Linotype"/>
          <w:sz w:val="26"/>
          <w:szCs w:val="26"/>
        </w:rPr>
        <w:t>o no significant harm” principle</w:t>
      </w:r>
    </w:p>
    <w:p w14:paraId="12399277" w14:textId="77777777" w:rsidR="00A7606C" w:rsidRPr="00AC42A1" w:rsidRDefault="00A7606C" w:rsidP="000F1898">
      <w:pPr>
        <w:jc w:val="center"/>
        <w:rPr>
          <w:rFonts w:ascii="Palatino Linotype" w:hAnsi="Palatino Linotype"/>
          <w:sz w:val="28"/>
          <w:szCs w:val="28"/>
        </w:rPr>
      </w:pPr>
    </w:p>
    <w:p w14:paraId="1FED3B53" w14:textId="0FCC4903" w:rsidR="00457513" w:rsidRPr="00A7606C" w:rsidRDefault="00A7606C" w:rsidP="00A7606C">
      <w:pPr>
        <w:pStyle w:val="ListParagraph"/>
        <w:numPr>
          <w:ilvl w:val="0"/>
          <w:numId w:val="11"/>
        </w:numPr>
        <w:rPr>
          <w:rFonts w:ascii="Palatino Linotype" w:hAnsi="Palatino Linotype"/>
          <w:sz w:val="24"/>
          <w:szCs w:val="24"/>
        </w:rPr>
      </w:pPr>
      <w:r>
        <w:rPr>
          <w:rFonts w:ascii="Palatino Linotype" w:hAnsi="Palatino Linotype"/>
          <w:sz w:val="24"/>
          <w:szCs w:val="24"/>
        </w:rPr>
        <w:t xml:space="preserve">Why do we need this assessment? </w:t>
      </w:r>
    </w:p>
    <w:p w14:paraId="327A6B1A" w14:textId="0CD04268" w:rsidR="00EE35FD" w:rsidRPr="00AC42A1" w:rsidRDefault="00EE35FD" w:rsidP="009036D4">
      <w:pPr>
        <w:jc w:val="both"/>
        <w:rPr>
          <w:rFonts w:ascii="Palatino Linotype" w:hAnsi="Palatino Linotype"/>
          <w:sz w:val="24"/>
          <w:szCs w:val="24"/>
        </w:rPr>
      </w:pPr>
      <w:r w:rsidRPr="00AC42A1">
        <w:rPr>
          <w:rFonts w:ascii="Palatino Linotype" w:hAnsi="Palatino Linotype"/>
          <w:sz w:val="24"/>
          <w:szCs w:val="24"/>
        </w:rPr>
        <w:t xml:space="preserve">The Taxonomy Regulation </w:t>
      </w:r>
      <w:r w:rsidR="00457513" w:rsidRPr="00AC42A1">
        <w:rPr>
          <w:rFonts w:ascii="Palatino Linotype" w:hAnsi="Palatino Linotype"/>
          <w:sz w:val="24"/>
          <w:szCs w:val="24"/>
        </w:rPr>
        <w:t>and also</w:t>
      </w:r>
      <w:r w:rsidRPr="00AC42A1">
        <w:rPr>
          <w:rFonts w:ascii="Palatino Linotype" w:hAnsi="Palatino Linotype"/>
          <w:sz w:val="24"/>
          <w:szCs w:val="24"/>
        </w:rPr>
        <w:t xml:space="preserve"> the Paris Agreement adopted under the United Nations Framework Convention on Climate Change (the ‘Paris Agreement’) was approved by the Union on 5 October 2016 </w:t>
      </w:r>
      <w:r w:rsidR="00457513" w:rsidRPr="00AC42A1">
        <w:rPr>
          <w:rFonts w:ascii="Palatino Linotype" w:hAnsi="Palatino Linotype"/>
          <w:sz w:val="24"/>
          <w:szCs w:val="24"/>
        </w:rPr>
        <w:t>both aim</w:t>
      </w:r>
      <w:r w:rsidRPr="00AC42A1">
        <w:rPr>
          <w:rFonts w:ascii="Palatino Linotype" w:hAnsi="Palatino Linotype"/>
          <w:sz w:val="24"/>
          <w:szCs w:val="24"/>
        </w:rPr>
        <w:t xml:space="preserve"> to strengthen the response to climate change by making finance flows consistent with a pathway towards low greenhouse gas emissions and climate-resilient development, among other means. In that context, on 12 December 2019, the European Council adopted conclusions on climate change</w:t>
      </w:r>
      <w:r w:rsidR="00910B28" w:rsidRPr="00AC42A1">
        <w:rPr>
          <w:rFonts w:ascii="Palatino Linotype" w:hAnsi="Palatino Linotype"/>
          <w:sz w:val="24"/>
          <w:szCs w:val="24"/>
        </w:rPr>
        <w:t>,</w:t>
      </w:r>
      <w:r w:rsidRPr="00AC42A1">
        <w:rPr>
          <w:rFonts w:ascii="Palatino Linotype" w:hAnsi="Palatino Linotype"/>
          <w:sz w:val="24"/>
          <w:szCs w:val="24"/>
        </w:rPr>
        <w:t xml:space="preserve"> thereof, </w:t>
      </w:r>
      <w:r w:rsidR="00910B28" w:rsidRPr="00AC42A1">
        <w:rPr>
          <w:rFonts w:ascii="Palatino Linotype" w:hAnsi="Palatino Linotype"/>
          <w:sz w:val="24"/>
          <w:szCs w:val="24"/>
        </w:rPr>
        <w:t>the Taxonomy Regulation</w:t>
      </w:r>
      <w:r w:rsidRPr="00AC42A1">
        <w:rPr>
          <w:rFonts w:ascii="Palatino Linotype" w:hAnsi="Palatino Linotype"/>
          <w:sz w:val="24"/>
          <w:szCs w:val="24"/>
        </w:rPr>
        <w:t xml:space="preserve"> represents a key step towards the objective of achieving a climate-neutral Union by 2050.</w:t>
      </w:r>
    </w:p>
    <w:p w14:paraId="1D6B8E1A" w14:textId="77777777" w:rsidR="00EE35FD" w:rsidRPr="00AC42A1" w:rsidRDefault="00EE35FD" w:rsidP="009036D4">
      <w:pPr>
        <w:jc w:val="both"/>
        <w:rPr>
          <w:rFonts w:ascii="Palatino Linotype" w:hAnsi="Palatino Linotype"/>
          <w:sz w:val="24"/>
          <w:szCs w:val="24"/>
        </w:rPr>
      </w:pPr>
      <w:r w:rsidRPr="00AC42A1">
        <w:rPr>
          <w:rFonts w:ascii="Palatino Linotype" w:hAnsi="Palatino Linotype"/>
          <w:sz w:val="24"/>
          <w:szCs w:val="24"/>
        </w:rPr>
        <w:t>The scope of the Taxonomy covers a specific group of activities and establishes the criteria for determining whether an economic activity qualifies as environmentally sustainable for the purposes of establishing the degree to which an investment is environmentally sustainable. (Article 2)</w:t>
      </w:r>
    </w:p>
    <w:p w14:paraId="42374420" w14:textId="27E3CC31" w:rsidR="00EE35FD" w:rsidRPr="00AC42A1" w:rsidRDefault="00EE35FD" w:rsidP="009036D4">
      <w:pPr>
        <w:jc w:val="both"/>
        <w:rPr>
          <w:rFonts w:ascii="Palatino Linotype" w:hAnsi="Palatino Linotype"/>
          <w:sz w:val="24"/>
          <w:szCs w:val="24"/>
        </w:rPr>
      </w:pPr>
      <w:r w:rsidRPr="00AC42A1">
        <w:rPr>
          <w:rFonts w:ascii="Palatino Linotype" w:hAnsi="Palatino Linotype"/>
          <w:sz w:val="24"/>
          <w:szCs w:val="24"/>
        </w:rPr>
        <w:t>The Taxonomy sets 6 environmental objective where</w:t>
      </w:r>
      <w:r w:rsidR="000F1898" w:rsidRPr="00AC42A1">
        <w:rPr>
          <w:rFonts w:ascii="Palatino Linotype" w:hAnsi="Palatino Linotype"/>
          <w:sz w:val="24"/>
          <w:szCs w:val="24"/>
        </w:rPr>
        <w:t xml:space="preserve"> the</w:t>
      </w:r>
      <w:r w:rsidRPr="00AC42A1">
        <w:rPr>
          <w:rFonts w:ascii="Palatino Linotype" w:hAnsi="Palatino Linotype"/>
          <w:sz w:val="24"/>
          <w:szCs w:val="24"/>
        </w:rPr>
        <w:t xml:space="preserve"> </w:t>
      </w:r>
      <w:r w:rsidRPr="00AC42A1">
        <w:rPr>
          <w:rFonts w:ascii="Palatino Linotype" w:hAnsi="Palatino Linotype"/>
          <w:b/>
          <w:sz w:val="24"/>
          <w:szCs w:val="24"/>
        </w:rPr>
        <w:t xml:space="preserve">first </w:t>
      </w:r>
      <w:r w:rsidR="000F1898" w:rsidRPr="00AC42A1">
        <w:rPr>
          <w:rFonts w:ascii="Palatino Linotype" w:hAnsi="Palatino Linotype"/>
          <w:b/>
          <w:sz w:val="24"/>
          <w:szCs w:val="24"/>
        </w:rPr>
        <w:t>two</w:t>
      </w:r>
      <w:r w:rsidRPr="00AC42A1">
        <w:rPr>
          <w:rFonts w:ascii="Palatino Linotype" w:hAnsi="Palatino Linotype"/>
          <w:b/>
          <w:sz w:val="24"/>
          <w:szCs w:val="24"/>
        </w:rPr>
        <w:t xml:space="preserve"> </w:t>
      </w:r>
      <w:proofErr w:type="gramStart"/>
      <w:r w:rsidRPr="00AC42A1">
        <w:rPr>
          <w:rFonts w:ascii="Palatino Linotype" w:hAnsi="Palatino Linotype"/>
          <w:b/>
          <w:sz w:val="24"/>
          <w:szCs w:val="24"/>
        </w:rPr>
        <w:t>are</w:t>
      </w:r>
      <w:proofErr w:type="gramEnd"/>
      <w:r w:rsidRPr="00AC42A1">
        <w:rPr>
          <w:rFonts w:ascii="Palatino Linotype" w:hAnsi="Palatino Linotype"/>
          <w:b/>
          <w:sz w:val="24"/>
          <w:szCs w:val="24"/>
        </w:rPr>
        <w:t xml:space="preserve"> related to climate proofing - climate change mitigation and climate change adaptation </w:t>
      </w:r>
      <w:r w:rsidRPr="00AC42A1">
        <w:rPr>
          <w:rFonts w:ascii="Palatino Linotype" w:hAnsi="Palatino Linotype"/>
          <w:sz w:val="24"/>
          <w:szCs w:val="24"/>
        </w:rPr>
        <w:t>(Article 9) and defines the parameters which lead to substantial contribution to those objectives (Articles 10 and 11 respectively).</w:t>
      </w:r>
    </w:p>
    <w:p w14:paraId="5B0B2D4F" w14:textId="77777777" w:rsidR="00910B28" w:rsidRPr="00AC42A1" w:rsidRDefault="00910B28" w:rsidP="009036D4">
      <w:pPr>
        <w:jc w:val="both"/>
        <w:rPr>
          <w:rFonts w:ascii="Palatino Linotype" w:hAnsi="Palatino Linotype"/>
          <w:sz w:val="24"/>
          <w:szCs w:val="24"/>
        </w:rPr>
      </w:pPr>
      <w:r w:rsidRPr="00AC42A1">
        <w:rPr>
          <w:rFonts w:ascii="Palatino Linotype" w:hAnsi="Palatino Linotype"/>
          <w:sz w:val="24"/>
          <w:szCs w:val="24"/>
        </w:rPr>
        <w:t xml:space="preserve">With regard to Art 22, 4 (j) REGULATION (EU) 2021/1059, all investments in infrastructure with an expected lifespan of at least five years, an assessment of expected impacts of climate change must be carried out with conjunction of the COMMISSION NOTICE (2021/C 373/01) Technical guidance on the climate proofing of infrastructure in the period 2021-2027. </w:t>
      </w:r>
    </w:p>
    <w:p w14:paraId="1EAD3B1F" w14:textId="0CF8BCCF" w:rsidR="00711623" w:rsidRPr="00AC42A1" w:rsidRDefault="00910B28" w:rsidP="009036D4">
      <w:pPr>
        <w:jc w:val="both"/>
        <w:rPr>
          <w:rFonts w:ascii="Palatino Linotype" w:hAnsi="Palatino Linotype"/>
          <w:b/>
          <w:bCs/>
          <w:sz w:val="24"/>
          <w:szCs w:val="24"/>
        </w:rPr>
      </w:pPr>
      <w:r w:rsidRPr="00AC42A1">
        <w:rPr>
          <w:rFonts w:ascii="Palatino Linotype" w:hAnsi="Palatino Linotype"/>
          <w:sz w:val="24"/>
          <w:szCs w:val="24"/>
        </w:rPr>
        <w:t xml:space="preserve">The technical guideline on the climate proofing introducing a broad concept of infrastructure, which includes: </w:t>
      </w:r>
    </w:p>
    <w:p w14:paraId="76C1D585" w14:textId="43F455CC" w:rsidR="007E3A60" w:rsidRPr="00AC42A1" w:rsidRDefault="00711623" w:rsidP="009036D4">
      <w:pPr>
        <w:jc w:val="both"/>
        <w:rPr>
          <w:rFonts w:ascii="Palatino Linotype" w:hAnsi="Palatino Linotype"/>
          <w:sz w:val="24"/>
          <w:szCs w:val="24"/>
        </w:rPr>
      </w:pPr>
      <w:r w:rsidRPr="00AC42A1">
        <w:rPr>
          <w:rFonts w:ascii="Palatino Linotype" w:hAnsi="Palatino Linotype"/>
          <w:sz w:val="24"/>
          <w:szCs w:val="24"/>
        </w:rPr>
        <w:t>—</w:t>
      </w:r>
      <w:r w:rsidRPr="00AC42A1">
        <w:rPr>
          <w:rFonts w:ascii="Palatino Linotype" w:hAnsi="Palatino Linotype"/>
          <w:i/>
          <w:iCs/>
          <w:sz w:val="24"/>
          <w:szCs w:val="24"/>
        </w:rPr>
        <w:t xml:space="preserve"> buildings</w:t>
      </w:r>
      <w:r w:rsidRPr="00AC42A1">
        <w:rPr>
          <w:rFonts w:ascii="Palatino Linotype" w:hAnsi="Palatino Linotype"/>
          <w:sz w:val="24"/>
          <w:szCs w:val="24"/>
        </w:rPr>
        <w:t>, from private homes to schools or industrial facilities, which are the most common type of infrastructure and the basis for human settlement; —</w:t>
      </w:r>
      <w:r w:rsidRPr="00AC42A1">
        <w:rPr>
          <w:rFonts w:ascii="Palatino Linotype" w:hAnsi="Palatino Linotype"/>
          <w:i/>
          <w:iCs/>
          <w:sz w:val="24"/>
          <w:szCs w:val="24"/>
        </w:rPr>
        <w:t xml:space="preserve"> nature-based </w:t>
      </w:r>
      <w:r w:rsidRPr="00AC42A1">
        <w:rPr>
          <w:rFonts w:ascii="Palatino Linotype" w:hAnsi="Palatino Linotype"/>
          <w:i/>
          <w:iCs/>
          <w:sz w:val="24"/>
          <w:szCs w:val="24"/>
        </w:rPr>
        <w:lastRenderedPageBreak/>
        <w:t>infrastructures</w:t>
      </w:r>
      <w:r w:rsidRPr="00AC42A1">
        <w:rPr>
          <w:rFonts w:ascii="Palatino Linotype" w:hAnsi="Palatino Linotype"/>
          <w:sz w:val="24"/>
          <w:szCs w:val="24"/>
        </w:rPr>
        <w:t xml:space="preserve"> such as green roofs, walls, spaces, and drainage systems. —</w:t>
      </w:r>
      <w:r w:rsidRPr="00AC42A1">
        <w:rPr>
          <w:rFonts w:ascii="Palatino Linotype" w:hAnsi="Palatino Linotype"/>
          <w:i/>
          <w:iCs/>
          <w:sz w:val="24"/>
          <w:szCs w:val="24"/>
        </w:rPr>
        <w:t xml:space="preserve"> network infrastructure</w:t>
      </w:r>
      <w:r w:rsidRPr="00AC42A1">
        <w:rPr>
          <w:rFonts w:ascii="Palatino Linotype" w:hAnsi="Palatino Linotype"/>
          <w:sz w:val="24"/>
          <w:szCs w:val="24"/>
        </w:rPr>
        <w:t xml:space="preserve"> crucial for the functioning of today’s economy and society, notably energy infrastructure (e.g. grids, power stations, pipelines), transport ( 9 ) (fixed assets such as roads, railways, ports, airports or inland waterways transport infrastructure), information and communication technologies (e.g. mobile phone networks, data cables, data </w:t>
      </w:r>
      <w:proofErr w:type="spellStart"/>
      <w:r w:rsidRPr="00AC42A1">
        <w:rPr>
          <w:rFonts w:ascii="Palatino Linotype" w:hAnsi="Palatino Linotype"/>
          <w:sz w:val="24"/>
          <w:szCs w:val="24"/>
        </w:rPr>
        <w:t>centres</w:t>
      </w:r>
      <w:proofErr w:type="spellEnd"/>
      <w:r w:rsidRPr="00AC42A1">
        <w:rPr>
          <w:rFonts w:ascii="Palatino Linotype" w:hAnsi="Palatino Linotype"/>
          <w:sz w:val="24"/>
          <w:szCs w:val="24"/>
        </w:rPr>
        <w:t>), and water (e.g. water supply pipelines, reservoirs, waste water treatment facilities); —</w:t>
      </w:r>
      <w:r w:rsidRPr="00AC42A1">
        <w:rPr>
          <w:rFonts w:ascii="Palatino Linotype" w:hAnsi="Palatino Linotype"/>
          <w:i/>
          <w:iCs/>
          <w:sz w:val="24"/>
          <w:szCs w:val="24"/>
        </w:rPr>
        <w:t xml:space="preserve"> systems</w:t>
      </w:r>
      <w:r w:rsidRPr="00AC42A1">
        <w:rPr>
          <w:rFonts w:ascii="Palatino Linotype" w:hAnsi="Palatino Linotype"/>
          <w:sz w:val="24"/>
          <w:szCs w:val="24"/>
        </w:rPr>
        <w:t xml:space="preserve"> to manage the waste generated by businesses and households (collecting points, sorting and recycling facilities, incinerators and landfills); — other</w:t>
      </w:r>
      <w:r w:rsidRPr="00AC42A1">
        <w:rPr>
          <w:rFonts w:ascii="Palatino Linotype" w:hAnsi="Palatino Linotype"/>
          <w:i/>
          <w:iCs/>
          <w:sz w:val="24"/>
          <w:szCs w:val="24"/>
        </w:rPr>
        <w:t xml:space="preserve"> physical assets</w:t>
      </w:r>
      <w:r w:rsidRPr="00AC42A1">
        <w:rPr>
          <w:rFonts w:ascii="Palatino Linotype" w:hAnsi="Palatino Linotype"/>
          <w:sz w:val="24"/>
          <w:szCs w:val="24"/>
        </w:rPr>
        <w:t xml:space="preserve"> in a wider range of policy areas, including communications, emergency services, energy, finance, food, government, health, education and training, research, civil protection, transport, and waste or water; —</w:t>
      </w:r>
      <w:r w:rsidRPr="00AC42A1">
        <w:rPr>
          <w:rFonts w:ascii="Palatino Linotype" w:hAnsi="Palatino Linotype"/>
          <w:i/>
          <w:iCs/>
          <w:sz w:val="24"/>
          <w:szCs w:val="24"/>
        </w:rPr>
        <w:t xml:space="preserve"> other eligible types of infrastructure</w:t>
      </w:r>
      <w:r w:rsidRPr="00AC42A1">
        <w:rPr>
          <w:rFonts w:ascii="Palatino Linotype" w:hAnsi="Palatino Linotype"/>
          <w:sz w:val="24"/>
          <w:szCs w:val="24"/>
        </w:rPr>
        <w:t xml:space="preserve"> may also be laid down in the fund-specific legislation</w:t>
      </w:r>
      <w:r w:rsidR="00910B28" w:rsidRPr="00AC42A1">
        <w:rPr>
          <w:rFonts w:ascii="Palatino Linotype" w:hAnsi="Palatino Linotype"/>
          <w:sz w:val="24"/>
          <w:szCs w:val="24"/>
        </w:rPr>
        <w:t>.</w:t>
      </w:r>
    </w:p>
    <w:p w14:paraId="0F8C4BFA" w14:textId="399B5125" w:rsidR="00910B28" w:rsidRPr="00AC42A1" w:rsidRDefault="00910B28" w:rsidP="00AC42A1">
      <w:pPr>
        <w:jc w:val="both"/>
        <w:rPr>
          <w:rFonts w:ascii="Palatino Linotype" w:hAnsi="Palatino Linotype"/>
          <w:sz w:val="24"/>
          <w:szCs w:val="24"/>
        </w:rPr>
      </w:pPr>
      <w:r w:rsidRPr="00AC42A1">
        <w:rPr>
          <w:rFonts w:ascii="Palatino Linotype" w:hAnsi="Palatino Linotype"/>
          <w:sz w:val="24"/>
          <w:szCs w:val="24"/>
        </w:rPr>
        <w:t>For the purpose of the current Guidelines for applicants “</w:t>
      </w:r>
      <w:r w:rsidR="00AC42A1" w:rsidRPr="00AC42A1">
        <w:rPr>
          <w:rFonts w:ascii="Palatino Linotype" w:hAnsi="Palatino Linotype"/>
          <w:sz w:val="24"/>
          <w:szCs w:val="24"/>
        </w:rPr>
        <w:t>PRIORITY 1. GREENER BORDER REGION</w:t>
      </w:r>
      <w:r w:rsidR="00AC42A1">
        <w:rPr>
          <w:rFonts w:ascii="Palatino Linotype" w:hAnsi="Palatino Linotype"/>
          <w:sz w:val="24"/>
          <w:szCs w:val="24"/>
        </w:rPr>
        <w:t xml:space="preserve">, </w:t>
      </w:r>
      <w:r w:rsidR="00AC42A1" w:rsidRPr="00AC42A1">
        <w:rPr>
          <w:rFonts w:ascii="Palatino Linotype" w:hAnsi="Palatino Linotype"/>
          <w:sz w:val="24"/>
          <w:szCs w:val="24"/>
        </w:rPr>
        <w:t xml:space="preserve">SPECIFIC OBJECTIVE 1.1. </w:t>
      </w:r>
      <w:r w:rsidR="00AC42A1">
        <w:rPr>
          <w:rFonts w:ascii="Palatino Linotype" w:hAnsi="Palatino Linotype"/>
          <w:sz w:val="24"/>
          <w:szCs w:val="24"/>
        </w:rPr>
        <w:t>“E</w:t>
      </w:r>
      <w:r w:rsidR="00AC42A1" w:rsidRPr="00AC42A1">
        <w:rPr>
          <w:rFonts w:ascii="Palatino Linotype" w:hAnsi="Palatino Linotype"/>
          <w:sz w:val="24"/>
          <w:szCs w:val="24"/>
        </w:rPr>
        <w:t>nhancing protection and preservation of nature, biodiversity, and green infrastructure, including in urban areas, and reducing all forms of pollution</w:t>
      </w:r>
      <w:r w:rsidR="00AC42A1">
        <w:rPr>
          <w:rFonts w:ascii="Palatino Linotype" w:hAnsi="Palatino Linotype"/>
          <w:sz w:val="24"/>
          <w:szCs w:val="24"/>
        </w:rPr>
        <w:t>”</w:t>
      </w:r>
      <w:r w:rsidR="00053BAB" w:rsidRPr="00AC42A1">
        <w:rPr>
          <w:rFonts w:ascii="Palatino Linotype" w:hAnsi="Palatino Linotype"/>
          <w:sz w:val="24"/>
          <w:szCs w:val="24"/>
        </w:rPr>
        <w:t xml:space="preserve"> the types of infrastructures are defined under eligible cost and under specific requirements and regulations under the national legislation of the partnering countries. </w:t>
      </w:r>
    </w:p>
    <w:p w14:paraId="2E85FE17" w14:textId="45B48EBC" w:rsidR="00910B28" w:rsidRDefault="00053BAB" w:rsidP="009036D4">
      <w:pPr>
        <w:jc w:val="both"/>
        <w:rPr>
          <w:rFonts w:ascii="Palatino Linotype" w:hAnsi="Palatino Linotype"/>
          <w:sz w:val="24"/>
          <w:szCs w:val="24"/>
        </w:rPr>
      </w:pPr>
      <w:r w:rsidRPr="00AC42A1">
        <w:rPr>
          <w:rFonts w:ascii="Palatino Linotype" w:hAnsi="Palatino Linotype"/>
          <w:sz w:val="24"/>
          <w:szCs w:val="24"/>
        </w:rPr>
        <w:t xml:space="preserve">In order, to fill correctly </w:t>
      </w:r>
      <w:r w:rsidR="00AC42A1">
        <w:rPr>
          <w:rFonts w:ascii="Palatino Linotype" w:hAnsi="Palatino Linotype"/>
          <w:sz w:val="24"/>
          <w:szCs w:val="24"/>
        </w:rPr>
        <w:t xml:space="preserve">Annex </w:t>
      </w:r>
      <w:r w:rsidR="00AC42A1">
        <w:rPr>
          <w:rFonts w:ascii="Palatino Linotype" w:hAnsi="Palatino Linotype" w:cs="Tahoma"/>
          <w:sz w:val="24"/>
          <w:szCs w:val="24"/>
          <w:lang w:val="bg-BG"/>
        </w:rPr>
        <w:t xml:space="preserve">А6. </w:t>
      </w:r>
      <w:r w:rsidR="00AC42A1">
        <w:rPr>
          <w:rFonts w:ascii="Palatino Linotype" w:hAnsi="Palatino Linotype" w:cs="Tahoma"/>
          <w:sz w:val="24"/>
          <w:szCs w:val="24"/>
        </w:rPr>
        <w:t xml:space="preserve">“Climate proofing assessment” </w:t>
      </w:r>
      <w:r w:rsidRPr="00AC42A1">
        <w:rPr>
          <w:rFonts w:ascii="Palatino Linotype" w:hAnsi="Palatino Linotype"/>
          <w:sz w:val="24"/>
          <w:szCs w:val="24"/>
        </w:rPr>
        <w:t xml:space="preserve">the following explanatory note will give you more detailed instructions which parts of your technical design or work design are relevant and contain the necessary information. </w:t>
      </w:r>
    </w:p>
    <w:p w14:paraId="3AD4A248" w14:textId="25850D23" w:rsidR="00A7606C" w:rsidRPr="00A7606C" w:rsidRDefault="00A7606C" w:rsidP="009036D4">
      <w:pPr>
        <w:jc w:val="both"/>
        <w:rPr>
          <w:rFonts w:ascii="Palatino Linotype" w:hAnsi="Palatino Linotype"/>
          <w:sz w:val="24"/>
          <w:szCs w:val="24"/>
          <w:u w:val="single"/>
        </w:rPr>
      </w:pPr>
      <w:r w:rsidRPr="00A7606C">
        <w:rPr>
          <w:rFonts w:ascii="Palatino Linotype" w:hAnsi="Palatino Linotype"/>
          <w:sz w:val="24"/>
          <w:szCs w:val="24"/>
          <w:u w:val="single"/>
        </w:rPr>
        <w:t>II.</w:t>
      </w:r>
      <w:r w:rsidRPr="00A7606C">
        <w:rPr>
          <w:rFonts w:ascii="Palatino Linotype" w:hAnsi="Palatino Linotype"/>
          <w:sz w:val="24"/>
          <w:szCs w:val="24"/>
          <w:u w:val="single"/>
        </w:rPr>
        <w:tab/>
        <w:t>How to fill Annex А6. Climate proofing assessment</w:t>
      </w:r>
      <w:r>
        <w:rPr>
          <w:rFonts w:ascii="Palatino Linotype" w:hAnsi="Palatino Linotype"/>
          <w:sz w:val="24"/>
          <w:szCs w:val="24"/>
          <w:u w:val="single"/>
        </w:rPr>
        <w:t xml:space="preserve">? </w:t>
      </w:r>
    </w:p>
    <w:p w14:paraId="44DCC3B2" w14:textId="20704BE1" w:rsidR="00053BAB" w:rsidRPr="00A7606C" w:rsidRDefault="00A7606C" w:rsidP="00A7606C">
      <w:pPr>
        <w:pStyle w:val="ListParagraph"/>
        <w:ind w:left="0"/>
        <w:jc w:val="both"/>
        <w:rPr>
          <w:rFonts w:ascii="Palatino Linotype" w:hAnsi="Palatino Linotype"/>
          <w:b/>
          <w:sz w:val="24"/>
          <w:szCs w:val="24"/>
          <w:u w:val="single"/>
        </w:rPr>
      </w:pPr>
      <w:r w:rsidRPr="00A7606C">
        <w:rPr>
          <w:rFonts w:ascii="Palatino Linotype" w:hAnsi="Palatino Linotype"/>
          <w:b/>
          <w:sz w:val="24"/>
          <w:szCs w:val="24"/>
          <w:u w:val="single"/>
        </w:rPr>
        <w:t xml:space="preserve">You must </w:t>
      </w:r>
      <w:r w:rsidR="00AC42A1" w:rsidRPr="00A7606C">
        <w:rPr>
          <w:rFonts w:ascii="Palatino Linotype" w:hAnsi="Palatino Linotype"/>
          <w:b/>
          <w:sz w:val="24"/>
          <w:szCs w:val="24"/>
          <w:u w:val="single"/>
        </w:rPr>
        <w:t xml:space="preserve">fill Annex </w:t>
      </w:r>
      <w:r w:rsidR="00AC42A1" w:rsidRPr="00A7606C">
        <w:rPr>
          <w:rFonts w:ascii="Palatino Linotype" w:hAnsi="Palatino Linotype" w:cs="Tahoma"/>
          <w:b/>
          <w:sz w:val="24"/>
          <w:szCs w:val="24"/>
          <w:u w:val="single"/>
          <w:lang w:val="bg-BG"/>
        </w:rPr>
        <w:t xml:space="preserve">А6. </w:t>
      </w:r>
      <w:r w:rsidR="00AC42A1" w:rsidRPr="00A7606C">
        <w:rPr>
          <w:rFonts w:ascii="Palatino Linotype" w:hAnsi="Palatino Linotype" w:cs="Tahoma"/>
          <w:b/>
          <w:sz w:val="24"/>
          <w:szCs w:val="24"/>
          <w:u w:val="single"/>
        </w:rPr>
        <w:t>“Climate proofing assessment” for each construction/infrastructure site included in your project proposal</w:t>
      </w:r>
      <w:r w:rsidRPr="00A7606C">
        <w:rPr>
          <w:rFonts w:ascii="Palatino Linotype" w:hAnsi="Palatino Linotype" w:cs="Tahoma"/>
          <w:b/>
          <w:sz w:val="24"/>
          <w:szCs w:val="24"/>
          <w:u w:val="single"/>
        </w:rPr>
        <w:t>!!!</w:t>
      </w:r>
    </w:p>
    <w:p w14:paraId="3FBCD961" w14:textId="77777777" w:rsidR="00A7606C" w:rsidRPr="00A7606C" w:rsidRDefault="00A7606C" w:rsidP="00A7606C">
      <w:pPr>
        <w:pStyle w:val="ListParagraph"/>
        <w:ind w:left="0"/>
        <w:jc w:val="both"/>
        <w:rPr>
          <w:rFonts w:ascii="Palatino Linotype" w:hAnsi="Palatino Linotype"/>
          <w:sz w:val="24"/>
          <w:szCs w:val="24"/>
          <w:u w:val="single"/>
        </w:rPr>
      </w:pPr>
    </w:p>
    <w:p w14:paraId="6E73B9AA" w14:textId="645A4B89" w:rsidR="00BE1A33" w:rsidRDefault="005D24F8" w:rsidP="00CA6EEE">
      <w:pPr>
        <w:pStyle w:val="ListParagraph"/>
        <w:numPr>
          <w:ilvl w:val="0"/>
          <w:numId w:val="8"/>
        </w:numPr>
        <w:jc w:val="both"/>
        <w:rPr>
          <w:rFonts w:ascii="Palatino Linotype" w:hAnsi="Palatino Linotype"/>
          <w:b/>
          <w:sz w:val="26"/>
          <w:szCs w:val="26"/>
        </w:rPr>
      </w:pPr>
      <w:r w:rsidRPr="00AC42A1">
        <w:rPr>
          <w:rFonts w:ascii="Palatino Linotype" w:hAnsi="Palatino Linotype"/>
          <w:b/>
          <w:sz w:val="26"/>
          <w:szCs w:val="26"/>
        </w:rPr>
        <w:t xml:space="preserve">First step </w:t>
      </w:r>
      <w:r w:rsidR="00CA6EEE" w:rsidRPr="00AC42A1">
        <w:rPr>
          <w:rFonts w:ascii="Palatino Linotype" w:hAnsi="Palatino Linotype"/>
          <w:b/>
          <w:sz w:val="26"/>
          <w:szCs w:val="26"/>
        </w:rPr>
        <w:t>“</w:t>
      </w:r>
      <w:r w:rsidR="00CA6EEE" w:rsidRPr="00AC42A1">
        <w:rPr>
          <w:rFonts w:ascii="Palatino Linotype" w:hAnsi="Palatino Linotype" w:cstheme="minorHAnsi"/>
          <w:b/>
          <w:sz w:val="26"/>
          <w:szCs w:val="26"/>
        </w:rPr>
        <w:t>‘Energy efficiency</w:t>
      </w:r>
      <w:r w:rsidR="00CA6EEE" w:rsidRPr="00AC42A1">
        <w:rPr>
          <w:rFonts w:ascii="Palatino Linotype" w:hAnsi="Palatino Linotype"/>
          <w:b/>
          <w:sz w:val="26"/>
          <w:szCs w:val="26"/>
        </w:rPr>
        <w:t>”</w:t>
      </w:r>
      <w:r w:rsidRPr="00AC42A1">
        <w:rPr>
          <w:rFonts w:ascii="Palatino Linotype" w:hAnsi="Palatino Linotype"/>
          <w:b/>
          <w:sz w:val="26"/>
          <w:szCs w:val="26"/>
        </w:rPr>
        <w:t xml:space="preserve"> assessment process </w:t>
      </w:r>
    </w:p>
    <w:tbl>
      <w:tblPr>
        <w:tblStyle w:val="TableGrid"/>
        <w:tblW w:w="10065" w:type="dxa"/>
        <w:tblInd w:w="-289" w:type="dxa"/>
        <w:tblLook w:val="04A0" w:firstRow="1" w:lastRow="0" w:firstColumn="1" w:lastColumn="0" w:noHBand="0" w:noVBand="1"/>
      </w:tblPr>
      <w:tblGrid>
        <w:gridCol w:w="1684"/>
        <w:gridCol w:w="1010"/>
        <w:gridCol w:w="851"/>
        <w:gridCol w:w="1134"/>
        <w:gridCol w:w="1134"/>
        <w:gridCol w:w="495"/>
        <w:gridCol w:w="1128"/>
        <w:gridCol w:w="2629"/>
      </w:tblGrid>
      <w:tr w:rsidR="00A7606C" w:rsidRPr="00A7606C" w14:paraId="14C29776" w14:textId="77777777" w:rsidTr="00A7606C">
        <w:trPr>
          <w:trHeight w:val="523"/>
        </w:trPr>
        <w:tc>
          <w:tcPr>
            <w:tcW w:w="1684" w:type="dxa"/>
          </w:tcPr>
          <w:p w14:paraId="07859D3A"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Assessment element</w:t>
            </w:r>
          </w:p>
        </w:tc>
        <w:tc>
          <w:tcPr>
            <w:tcW w:w="8381" w:type="dxa"/>
            <w:gridSpan w:val="7"/>
          </w:tcPr>
          <w:p w14:paraId="2BED663E" w14:textId="77777777" w:rsidR="00A7606C" w:rsidRPr="00A7606C" w:rsidRDefault="00A7606C" w:rsidP="00B452FE">
            <w:pPr>
              <w:pStyle w:val="Bodytext30"/>
              <w:shd w:val="clear" w:color="auto" w:fill="auto"/>
              <w:spacing w:after="40"/>
              <w:rPr>
                <w:rFonts w:ascii="Palatino Linotype" w:hAnsi="Palatino Linotype" w:cstheme="minorHAnsi"/>
                <w:b/>
                <w:color w:val="2F5496" w:themeColor="accent5" w:themeShade="BF"/>
                <w:sz w:val="20"/>
                <w:szCs w:val="20"/>
              </w:rPr>
            </w:pPr>
            <w:r w:rsidRPr="00A7606C">
              <w:rPr>
                <w:rFonts w:ascii="Palatino Linotype" w:hAnsi="Palatino Linotype" w:cstheme="minorHAnsi"/>
                <w:b/>
                <w:color w:val="2F5496" w:themeColor="accent5" w:themeShade="BF"/>
                <w:sz w:val="20"/>
                <w:szCs w:val="20"/>
                <w:u w:val="none"/>
                <w:lang w:bidi="en-US"/>
              </w:rPr>
              <w:t>Phase 1 (screening)</w:t>
            </w:r>
          </w:p>
          <w:p w14:paraId="4D782224" w14:textId="77777777" w:rsidR="00A7606C" w:rsidRPr="00A7606C" w:rsidRDefault="00A7606C" w:rsidP="00B452FE">
            <w:pPr>
              <w:rPr>
                <w:rFonts w:ascii="Palatino Linotype" w:hAnsi="Palatino Linotype" w:cstheme="minorHAnsi"/>
                <w:b/>
                <w:color w:val="2F5496" w:themeColor="accent5" w:themeShade="BF"/>
                <w:sz w:val="20"/>
                <w:szCs w:val="20"/>
              </w:rPr>
            </w:pPr>
          </w:p>
        </w:tc>
      </w:tr>
      <w:tr w:rsidR="00A7606C" w:rsidRPr="00A7606C" w14:paraId="36B323C2" w14:textId="77777777" w:rsidTr="00A7606C">
        <w:tc>
          <w:tcPr>
            <w:tcW w:w="1684" w:type="dxa"/>
          </w:tcPr>
          <w:p w14:paraId="08393388" w14:textId="77777777" w:rsidR="00A7606C" w:rsidRPr="00A7606C" w:rsidRDefault="00A7606C" w:rsidP="00B452FE">
            <w:pPr>
              <w:rPr>
                <w:rFonts w:ascii="Palatino Linotype" w:hAnsi="Palatino Linotype" w:cstheme="minorHAnsi"/>
                <w:sz w:val="20"/>
                <w:szCs w:val="20"/>
              </w:rPr>
            </w:pPr>
          </w:p>
        </w:tc>
        <w:tc>
          <w:tcPr>
            <w:tcW w:w="4624" w:type="dxa"/>
            <w:gridSpan w:val="5"/>
          </w:tcPr>
          <w:p w14:paraId="157A9B96"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 xml:space="preserve">Reducing energy consumption </w:t>
            </w:r>
          </w:p>
        </w:tc>
        <w:tc>
          <w:tcPr>
            <w:tcW w:w="3757" w:type="dxa"/>
            <w:gridSpan w:val="2"/>
          </w:tcPr>
          <w:p w14:paraId="1BAF7F4B" w14:textId="77777777" w:rsidR="00A7606C" w:rsidRPr="00A7606C" w:rsidRDefault="00A7606C" w:rsidP="00B452FE">
            <w:pPr>
              <w:rPr>
                <w:rFonts w:ascii="Palatino Linotype" w:hAnsi="Palatino Linotype" w:cstheme="minorHAnsi"/>
                <w:sz w:val="20"/>
                <w:szCs w:val="20"/>
              </w:rPr>
            </w:pPr>
          </w:p>
        </w:tc>
      </w:tr>
      <w:tr w:rsidR="00A7606C" w:rsidRPr="00A7606C" w14:paraId="1401A9EE" w14:textId="77777777" w:rsidTr="00A7606C">
        <w:trPr>
          <w:trHeight w:val="1201"/>
        </w:trPr>
        <w:tc>
          <w:tcPr>
            <w:tcW w:w="1684" w:type="dxa"/>
          </w:tcPr>
          <w:p w14:paraId="116F9635"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 xml:space="preserve"> ‘Energy efficiency assessment’ of the investment </w:t>
            </w:r>
          </w:p>
          <w:p w14:paraId="00E222BC" w14:textId="77777777" w:rsidR="00A7606C" w:rsidRPr="00A7606C" w:rsidRDefault="00A7606C" w:rsidP="00B452FE">
            <w:pPr>
              <w:rPr>
                <w:rFonts w:ascii="Palatino Linotype" w:hAnsi="Palatino Linotype" w:cstheme="minorHAnsi"/>
                <w:sz w:val="20"/>
                <w:szCs w:val="20"/>
              </w:rPr>
            </w:pPr>
          </w:p>
        </w:tc>
        <w:tc>
          <w:tcPr>
            <w:tcW w:w="1010" w:type="dxa"/>
          </w:tcPr>
          <w:p w14:paraId="7E5B319A" w14:textId="77777777" w:rsidR="00A7606C" w:rsidRPr="00A7606C" w:rsidRDefault="00A7606C" w:rsidP="00B452FE">
            <w:pPr>
              <w:spacing w:line="360" w:lineRule="auto"/>
              <w:rPr>
                <w:rFonts w:ascii="Palatino Linotype" w:hAnsi="Palatino Linotype" w:cstheme="minorHAnsi"/>
                <w:sz w:val="20"/>
                <w:szCs w:val="20"/>
              </w:rPr>
            </w:pPr>
            <w:r w:rsidRPr="00A7606C">
              <w:rPr>
                <w:rFonts w:ascii="Palatino Linotype" w:hAnsi="Palatino Linotype" w:cstheme="minorHAnsi"/>
                <w:sz w:val="20"/>
                <w:szCs w:val="20"/>
              </w:rPr>
              <w:t xml:space="preserve">Yes, with </w:t>
            </w:r>
          </w:p>
          <w:p w14:paraId="0B8AE0B4" w14:textId="77777777" w:rsidR="00A7606C" w:rsidRPr="00A7606C" w:rsidRDefault="00A7606C" w:rsidP="00B452FE">
            <w:pPr>
              <w:spacing w:line="360" w:lineRule="auto"/>
              <w:rPr>
                <w:rFonts w:ascii="Palatino Linotype" w:hAnsi="Palatino Linotype" w:cstheme="minorHAnsi"/>
                <w:sz w:val="20"/>
                <w:szCs w:val="20"/>
              </w:rPr>
            </w:pPr>
            <w:r w:rsidRPr="00A7606C">
              <w:rPr>
                <w:rFonts w:ascii="Palatino Linotype" w:hAnsi="Palatino Linotype" w:cstheme="minorHAnsi"/>
                <w:sz w:val="20"/>
                <w:szCs w:val="20"/>
              </w:rPr>
              <w:t>5-10%</w:t>
            </w:r>
          </w:p>
        </w:tc>
        <w:tc>
          <w:tcPr>
            <w:tcW w:w="851" w:type="dxa"/>
          </w:tcPr>
          <w:p w14:paraId="69DB0CDD"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Yes, with 10-15%</w:t>
            </w:r>
          </w:p>
        </w:tc>
        <w:tc>
          <w:tcPr>
            <w:tcW w:w="1134" w:type="dxa"/>
          </w:tcPr>
          <w:p w14:paraId="13897253"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Yes, with 15-30%</w:t>
            </w:r>
          </w:p>
        </w:tc>
        <w:tc>
          <w:tcPr>
            <w:tcW w:w="1134" w:type="dxa"/>
          </w:tcPr>
          <w:p w14:paraId="1AF38D2E"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Yes, with more than 30%</w:t>
            </w:r>
          </w:p>
        </w:tc>
        <w:tc>
          <w:tcPr>
            <w:tcW w:w="495" w:type="dxa"/>
          </w:tcPr>
          <w:p w14:paraId="0C7BEBF1"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No</w:t>
            </w:r>
          </w:p>
        </w:tc>
        <w:tc>
          <w:tcPr>
            <w:tcW w:w="1128" w:type="dxa"/>
          </w:tcPr>
          <w:p w14:paraId="091721F2"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 xml:space="preserve">Not applicable </w:t>
            </w:r>
          </w:p>
        </w:tc>
        <w:tc>
          <w:tcPr>
            <w:tcW w:w="2629" w:type="dxa"/>
          </w:tcPr>
          <w:p w14:paraId="577DE687" w14:textId="77777777" w:rsidR="00A7606C" w:rsidRPr="00A7606C" w:rsidRDefault="00A7606C" w:rsidP="00B452FE">
            <w:pPr>
              <w:rPr>
                <w:rFonts w:ascii="Palatino Linotype" w:hAnsi="Palatino Linotype" w:cstheme="minorHAnsi"/>
                <w:sz w:val="20"/>
                <w:szCs w:val="20"/>
              </w:rPr>
            </w:pPr>
            <w:r w:rsidRPr="00A7606C">
              <w:rPr>
                <w:rFonts w:ascii="Palatino Linotype" w:hAnsi="Palatino Linotype" w:cstheme="minorHAnsi"/>
                <w:sz w:val="20"/>
                <w:szCs w:val="20"/>
              </w:rPr>
              <w:t>If, your answer is “NO” or “N/a” please explain why</w:t>
            </w:r>
          </w:p>
        </w:tc>
      </w:tr>
    </w:tbl>
    <w:p w14:paraId="2DA5C8B0" w14:textId="5B701930" w:rsidR="00A7606C" w:rsidRDefault="00A7606C" w:rsidP="009036D4">
      <w:pPr>
        <w:spacing w:beforeAutospacing="1" w:after="0" w:afterAutospacing="1" w:line="240" w:lineRule="auto"/>
        <w:jc w:val="both"/>
        <w:rPr>
          <w:rFonts w:ascii="Palatino Linotype" w:eastAsia="Times New Roman" w:hAnsi="Palatino Linotype" w:cs="Times New Roman"/>
          <w:sz w:val="24"/>
          <w:szCs w:val="24"/>
        </w:rPr>
      </w:pPr>
      <w:r>
        <w:rPr>
          <w:rFonts w:ascii="Palatino Linotype" w:eastAsia="Times New Roman" w:hAnsi="Palatino Linotype" w:cs="Times New Roman"/>
          <w:sz w:val="24"/>
          <w:szCs w:val="24"/>
        </w:rPr>
        <w:lastRenderedPageBreak/>
        <w:t>Chose one of the options from the dropdown menu on the left of this table!</w:t>
      </w:r>
    </w:p>
    <w:p w14:paraId="0EE0618B" w14:textId="4C10D2F1" w:rsidR="005D24F8" w:rsidRPr="00AC42A1" w:rsidRDefault="005D24F8" w:rsidP="009036D4">
      <w:pPr>
        <w:spacing w:beforeAutospacing="1" w:after="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To boost energy performance of buildings, the EU has established a legislative framework that includes the </w:t>
      </w:r>
      <w:hyperlink r:id="rId8" w:history="1">
        <w:r w:rsidRPr="00AC42A1">
          <w:rPr>
            <w:rFonts w:ascii="Palatino Linotype" w:eastAsia="Times New Roman" w:hAnsi="Palatino Linotype" w:cs="Arial"/>
            <w:sz w:val="24"/>
            <w:szCs w:val="24"/>
            <w:u w:val="single"/>
          </w:rPr>
          <w:t>Energy Performance of Buildings Directive</w:t>
        </w:r>
      </w:hyperlink>
      <w:r w:rsidRPr="00AC42A1">
        <w:rPr>
          <w:rFonts w:ascii="Palatino Linotype" w:eastAsia="Times New Roman" w:hAnsi="Palatino Linotype" w:cs="Times New Roman"/>
          <w:sz w:val="24"/>
          <w:szCs w:val="24"/>
        </w:rPr>
        <w:t> </w:t>
      </w:r>
      <w:r w:rsidRPr="00AC42A1">
        <w:rPr>
          <w:rFonts w:ascii="Palatino Linotype" w:hAnsi="Palatino Linotype" w:cs="Arial"/>
          <w:sz w:val="24"/>
          <w:szCs w:val="24"/>
        </w:rPr>
        <w:t>2018/844/EU</w:t>
      </w:r>
      <w:r w:rsidR="00AC42A1">
        <w:rPr>
          <w:rFonts w:ascii="Palatino Linotype" w:hAnsi="Palatino Linotype" w:cs="Arial"/>
          <w:sz w:val="24"/>
          <w:szCs w:val="24"/>
        </w:rPr>
        <w:t xml:space="preserve"> </w:t>
      </w:r>
      <w:r w:rsidRPr="00AC42A1">
        <w:rPr>
          <w:rFonts w:ascii="Palatino Linotype" w:eastAsia="Times New Roman" w:hAnsi="Palatino Linotype" w:cs="Times New Roman"/>
          <w:sz w:val="24"/>
          <w:szCs w:val="24"/>
        </w:rPr>
        <w:t>and the </w:t>
      </w:r>
      <w:hyperlink r:id="rId9" w:history="1">
        <w:r w:rsidRPr="00AC42A1">
          <w:rPr>
            <w:rFonts w:ascii="Palatino Linotype" w:eastAsia="Times New Roman" w:hAnsi="Palatino Linotype" w:cs="Arial"/>
            <w:sz w:val="24"/>
            <w:szCs w:val="24"/>
            <w:u w:val="single"/>
          </w:rPr>
          <w:t>Energy Efficiency Directive</w:t>
        </w:r>
      </w:hyperlink>
      <w:r w:rsidRPr="00AC42A1">
        <w:rPr>
          <w:rFonts w:ascii="Palatino Linotype" w:eastAsia="Times New Roman" w:hAnsi="Palatino Linotype" w:cs="Times New Roman"/>
          <w:sz w:val="24"/>
          <w:szCs w:val="24"/>
        </w:rPr>
        <w:t xml:space="preserve"> 2012/27/EU, amended by </w:t>
      </w:r>
      <w:hyperlink r:id="rId10" w:history="1">
        <w:r w:rsidRPr="00AC42A1">
          <w:rPr>
            <w:rStyle w:val="Hyperlink"/>
            <w:rFonts w:ascii="Palatino Linotype" w:hAnsi="Palatino Linotype" w:cs="Arial"/>
            <w:color w:val="auto"/>
            <w:sz w:val="24"/>
            <w:szCs w:val="24"/>
          </w:rPr>
          <w:t>Renewable Energy Directive</w:t>
        </w:r>
      </w:hyperlink>
      <w:r w:rsidRPr="00AC42A1">
        <w:rPr>
          <w:rFonts w:ascii="Palatino Linotype" w:hAnsi="Palatino Linotype" w:cs="Arial"/>
          <w:sz w:val="24"/>
          <w:szCs w:val="24"/>
        </w:rPr>
        <w:t> (2018/2001/EU)</w:t>
      </w:r>
      <w:r w:rsidRPr="00AC42A1">
        <w:rPr>
          <w:rFonts w:ascii="Palatino Linotype" w:eastAsia="Times New Roman" w:hAnsi="Palatino Linotype" w:cs="Times New Roman"/>
          <w:sz w:val="24"/>
          <w:szCs w:val="24"/>
        </w:rPr>
        <w:t>.</w:t>
      </w:r>
    </w:p>
    <w:p w14:paraId="510ADADA" w14:textId="77777777" w:rsidR="005D24F8" w:rsidRPr="00AC42A1" w:rsidRDefault="005D24F8" w:rsidP="009036D4">
      <w:pPr>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Together, the directives promote policies that will help</w:t>
      </w:r>
    </w:p>
    <w:p w14:paraId="287AB05E" w14:textId="77777777" w:rsidR="005D24F8" w:rsidRPr="00AC42A1" w:rsidRDefault="005D24F8" w:rsidP="009036D4">
      <w:pPr>
        <w:numPr>
          <w:ilvl w:val="0"/>
          <w:numId w:val="1"/>
        </w:numPr>
        <w:spacing w:after="100" w:afterAutospacing="1" w:line="240" w:lineRule="auto"/>
        <w:ind w:left="0"/>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 xml:space="preserve">achieve a highly energy efficient and </w:t>
      </w:r>
      <w:proofErr w:type="spellStart"/>
      <w:r w:rsidRPr="00AC42A1">
        <w:rPr>
          <w:rFonts w:ascii="Palatino Linotype" w:eastAsia="Times New Roman" w:hAnsi="Palatino Linotype" w:cs="Times New Roman"/>
          <w:sz w:val="24"/>
          <w:szCs w:val="24"/>
        </w:rPr>
        <w:t>decarbonised</w:t>
      </w:r>
      <w:proofErr w:type="spellEnd"/>
      <w:r w:rsidRPr="00AC42A1">
        <w:rPr>
          <w:rFonts w:ascii="Palatino Linotype" w:eastAsia="Times New Roman" w:hAnsi="Palatino Linotype" w:cs="Times New Roman"/>
          <w:sz w:val="24"/>
          <w:szCs w:val="24"/>
        </w:rPr>
        <w:t xml:space="preserve"> building stock by 2050</w:t>
      </w:r>
    </w:p>
    <w:p w14:paraId="05CCD175" w14:textId="77777777" w:rsidR="005D24F8" w:rsidRPr="00AC42A1" w:rsidRDefault="005D24F8" w:rsidP="009036D4">
      <w:pPr>
        <w:numPr>
          <w:ilvl w:val="0"/>
          <w:numId w:val="1"/>
        </w:numPr>
        <w:spacing w:before="100" w:beforeAutospacing="1" w:after="100" w:afterAutospacing="1" w:line="240" w:lineRule="auto"/>
        <w:ind w:left="0"/>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create a stable environment for investment decisions</w:t>
      </w:r>
    </w:p>
    <w:p w14:paraId="1D8C17AC" w14:textId="77777777" w:rsidR="005D24F8" w:rsidRPr="00AC42A1" w:rsidRDefault="005D24F8" w:rsidP="009036D4">
      <w:pPr>
        <w:numPr>
          <w:ilvl w:val="0"/>
          <w:numId w:val="1"/>
        </w:numPr>
        <w:spacing w:before="100" w:beforeAutospacing="1" w:after="100" w:afterAutospacing="1" w:line="240" w:lineRule="auto"/>
        <w:ind w:left="0"/>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enable consumers and businesses to make more informed choices to save energy and money</w:t>
      </w:r>
    </w:p>
    <w:p w14:paraId="68A6A8F7" w14:textId="24DB3B07" w:rsidR="00BE1A33" w:rsidRPr="00AC42A1" w:rsidRDefault="00425631" w:rsidP="009036D4">
      <w:pPr>
        <w:jc w:val="both"/>
        <w:rPr>
          <w:rFonts w:ascii="Palatino Linotype" w:hAnsi="Palatino Linotype" w:cstheme="minorHAnsi"/>
          <w:sz w:val="24"/>
          <w:szCs w:val="24"/>
          <w:lang w:val="bg-BG"/>
        </w:rPr>
      </w:pPr>
      <w:r>
        <w:rPr>
          <w:rFonts w:ascii="Palatino Linotype" w:hAnsi="Palatino Linotype"/>
          <w:sz w:val="24"/>
          <w:szCs w:val="24"/>
        </w:rPr>
        <w:t>By</w:t>
      </w:r>
      <w:r w:rsidR="00053BAB" w:rsidRPr="00AC42A1">
        <w:rPr>
          <w:rFonts w:ascii="Palatino Linotype" w:hAnsi="Palatino Linotype"/>
          <w:sz w:val="24"/>
          <w:szCs w:val="24"/>
        </w:rPr>
        <w:t xml:space="preserve"> EU regulations and by </w:t>
      </w:r>
      <w:r>
        <w:rPr>
          <w:rFonts w:ascii="Palatino Linotype" w:hAnsi="Palatino Linotype"/>
          <w:sz w:val="24"/>
          <w:szCs w:val="24"/>
        </w:rPr>
        <w:t xml:space="preserve">the </w:t>
      </w:r>
      <w:r w:rsidR="00053BAB" w:rsidRPr="00AC42A1">
        <w:rPr>
          <w:rFonts w:ascii="Palatino Linotype" w:hAnsi="Palatino Linotype"/>
          <w:sz w:val="24"/>
          <w:szCs w:val="24"/>
        </w:rPr>
        <w:t xml:space="preserve">Ordinance No. RD-02-20-3 of 9.11.2022 on the technical requirements for the energy characteristics of buildings, the energy efficiency requirements for buildings in Bulgaria </w:t>
      </w:r>
    </w:p>
    <w:p w14:paraId="0DE720D3" w14:textId="52580759" w:rsidR="00053BAB" w:rsidRPr="00AC42A1" w:rsidRDefault="00053BAB"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technical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requirement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for</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characteristics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expressed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value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general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integrated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characteristic</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a </w:t>
      </w:r>
      <w:proofErr w:type="spellStart"/>
      <w:r w:rsidRPr="00AC42A1">
        <w:rPr>
          <w:rFonts w:ascii="Palatino Linotype" w:hAnsi="Palatino Linotype" w:cstheme="minorHAnsi"/>
          <w:sz w:val="24"/>
          <w:szCs w:val="24"/>
          <w:lang w:val="bg-BG"/>
        </w:rPr>
        <w:t>building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specific</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annual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consumption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primary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kWh</w:t>
      </w:r>
      <w:proofErr w:type="spellEnd"/>
      <w:r w:rsidRPr="00AC42A1">
        <w:rPr>
          <w:rFonts w:ascii="Palatino Linotype" w:hAnsi="Palatino Linotype" w:cstheme="minorHAnsi"/>
          <w:sz w:val="24"/>
          <w:szCs w:val="24"/>
          <w:lang w:val="bg-BG"/>
        </w:rPr>
        <w:t>/m</w:t>
      </w:r>
      <w:r w:rsidRPr="00AC42A1">
        <w:rPr>
          <w:rFonts w:ascii="Palatino Linotype" w:hAnsi="Palatino Linotype" w:cstheme="minorHAnsi"/>
          <w:sz w:val="24"/>
          <w:szCs w:val="24"/>
          <w:vertAlign w:val="superscript"/>
          <w:lang w:val="bg-BG"/>
        </w:rPr>
        <w:t>2</w:t>
      </w:r>
      <w:r w:rsidRPr="00AC42A1">
        <w:rPr>
          <w:rFonts w:ascii="Palatino Linotype" w:hAnsi="Palatino Linotype" w:cstheme="minorHAnsi"/>
          <w:sz w:val="24"/>
          <w:szCs w:val="24"/>
          <w:lang w:val="bg-BG"/>
        </w:rPr>
        <w:t>yr</w:t>
      </w:r>
      <w:r w:rsidRPr="00AC42A1">
        <w:rPr>
          <w:rFonts w:ascii="Palatino Linotype" w:hAnsi="Palatino Linotype" w:cstheme="minorHAnsi"/>
          <w:sz w:val="24"/>
          <w:szCs w:val="24"/>
        </w:rPr>
        <w:t>)”.</w:t>
      </w:r>
    </w:p>
    <w:p w14:paraId="0FF229DD" w14:textId="44B15AC4"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How to estimate the annual consumption of primary energy?</w:t>
      </w:r>
    </w:p>
    <w:p w14:paraId="161EBE3F" w14:textId="6A535B6A" w:rsidR="00C53A8E" w:rsidRPr="00AC42A1" w:rsidRDefault="00C53A8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The total (integrated) energy performance of a given building includes the annual energy consumption for heating, cooling, ventilation, hot water for domestic needs, lighting and energy-consuming appliances, referred to one square meter of the total air-conditioned area of the building (Aclim</w:t>
      </w:r>
      <w:proofErr w:type="gramStart"/>
      <w:r w:rsidRPr="00AC42A1">
        <w:rPr>
          <w:rFonts w:ascii="Palatino Linotype" w:hAnsi="Palatino Linotype" w:cstheme="minorHAnsi"/>
          <w:sz w:val="24"/>
          <w:szCs w:val="24"/>
        </w:rPr>
        <w:t>.,m</w:t>
      </w:r>
      <w:proofErr w:type="gramEnd"/>
      <w:r w:rsidRPr="00AC42A1">
        <w:rPr>
          <w:rFonts w:ascii="Palatino Linotype" w:hAnsi="Palatino Linotype" w:cstheme="minorHAnsi"/>
          <w:sz w:val="24"/>
          <w:szCs w:val="24"/>
          <w:vertAlign w:val="superscript"/>
        </w:rPr>
        <w:t>2</w:t>
      </w:r>
      <w:r w:rsidRPr="00AC42A1">
        <w:rPr>
          <w:rFonts w:ascii="Palatino Linotype" w:hAnsi="Palatino Linotype" w:cstheme="minorHAnsi"/>
          <w:sz w:val="24"/>
          <w:szCs w:val="24"/>
        </w:rPr>
        <w:t xml:space="preserve"> ). The integrated energy characteristic of the building "specific annual consumption of primary energy (kWh/m</w:t>
      </w:r>
      <w:r w:rsidRPr="00AC42A1">
        <w:rPr>
          <w:rFonts w:ascii="Palatino Linotype" w:hAnsi="Palatino Linotype" w:cstheme="minorHAnsi"/>
          <w:sz w:val="24"/>
          <w:szCs w:val="24"/>
          <w:vertAlign w:val="superscript"/>
        </w:rPr>
        <w:t>2</w:t>
      </w:r>
      <w:r w:rsidRPr="00AC42A1">
        <w:rPr>
          <w:rFonts w:ascii="Palatino Linotype" w:hAnsi="Palatino Linotype" w:cstheme="minorHAnsi"/>
          <w:sz w:val="24"/>
          <w:szCs w:val="24"/>
        </w:rPr>
        <w:t>yr.) is certified by the energy characteristics certificate,</w:t>
      </w:r>
      <w:r w:rsidR="00414DBE" w:rsidRPr="00AC42A1">
        <w:rPr>
          <w:rFonts w:ascii="Palatino Linotype" w:hAnsi="Palatino Linotype" w:cstheme="minorHAnsi"/>
          <w:sz w:val="24"/>
          <w:szCs w:val="24"/>
        </w:rPr>
        <w:t xml:space="preserve"> (if you have previous energy survey of the building or passport of the building)</w:t>
      </w:r>
      <w:r w:rsidRPr="00AC42A1">
        <w:rPr>
          <w:rFonts w:ascii="Palatino Linotype" w:hAnsi="Palatino Linotype" w:cstheme="minorHAnsi"/>
          <w:sz w:val="24"/>
          <w:szCs w:val="24"/>
        </w:rPr>
        <w:t xml:space="preserve"> regulated by a model for new and</w:t>
      </w:r>
      <w:r w:rsidR="00414DBE" w:rsidRPr="00AC42A1">
        <w:rPr>
          <w:rFonts w:ascii="Palatino Linotype" w:hAnsi="Palatino Linotype" w:cstheme="minorHAnsi"/>
          <w:sz w:val="24"/>
          <w:szCs w:val="24"/>
        </w:rPr>
        <w:t xml:space="preserve"> a model for existing buildings. In case you don’t have energy survey of the building or passport of the building, the specialist who will prepare “Energy efficiency” part of the work/technical design must include overall conclusion of the estimated annual consumption of primary energy which the infrastructure will obtain after the project is completed. </w:t>
      </w:r>
    </w:p>
    <w:p w14:paraId="550DEEE1" w14:textId="2517FCCD"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 xml:space="preserve">For Bulgarian partner, please keep in mind when you are preparing you project that </w:t>
      </w:r>
      <w:r w:rsidR="00A5228A" w:rsidRPr="00AC42A1">
        <w:rPr>
          <w:rFonts w:ascii="Palatino Linotype" w:hAnsi="Palatino Linotype" w:cstheme="minorHAnsi"/>
          <w:sz w:val="24"/>
          <w:szCs w:val="24"/>
        </w:rPr>
        <w:t>a</w:t>
      </w:r>
      <w:r w:rsidRPr="00AC42A1">
        <w:rPr>
          <w:rFonts w:ascii="Palatino Linotype" w:hAnsi="Palatino Linotype" w:cstheme="minorHAnsi"/>
          <w:sz w:val="24"/>
          <w:szCs w:val="24"/>
        </w:rPr>
        <w:t xml:space="preserve">ccording to </w:t>
      </w:r>
      <w:r w:rsidR="00A5228A" w:rsidRPr="00AC42A1">
        <w:rPr>
          <w:rFonts w:ascii="Palatino Linotype" w:hAnsi="Palatino Linotype" w:cstheme="minorHAnsi"/>
          <w:sz w:val="24"/>
          <w:szCs w:val="24"/>
        </w:rPr>
        <w:t xml:space="preserve">the </w:t>
      </w:r>
      <w:r w:rsidRPr="00AC42A1">
        <w:rPr>
          <w:rFonts w:ascii="Palatino Linotype" w:hAnsi="Palatino Linotype" w:cstheme="minorHAnsi"/>
          <w:sz w:val="24"/>
          <w:szCs w:val="24"/>
        </w:rPr>
        <w:t xml:space="preserve">Ordinance No. RD-02-20-3 of 9.11.2022 on the technical </w:t>
      </w:r>
      <w:r w:rsidRPr="00AC42A1">
        <w:rPr>
          <w:rFonts w:ascii="Palatino Linotype" w:hAnsi="Palatino Linotype" w:cstheme="minorHAnsi"/>
          <w:sz w:val="24"/>
          <w:szCs w:val="24"/>
        </w:rPr>
        <w:lastRenderedPageBreak/>
        <w:t>requirements for the energy characteristics of buildings, the energy efficiency requirements for buildings in Bulgaria are as follows:</w:t>
      </w:r>
    </w:p>
    <w:p w14:paraId="129219F0" w14:textId="02C337F1"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 xml:space="preserve">1. All new buildings of the relevant category are designed with close to zero energy consumption according to the national definition defined in the Energy Efficiency Act. The requirement </w:t>
      </w:r>
      <w:r w:rsidR="00A5228A" w:rsidRPr="00AC42A1">
        <w:rPr>
          <w:rFonts w:ascii="Palatino Linotype" w:hAnsi="Palatino Linotype" w:cstheme="minorHAnsi"/>
          <w:sz w:val="24"/>
          <w:szCs w:val="24"/>
        </w:rPr>
        <w:t>will take effect</w:t>
      </w:r>
      <w:r w:rsidRPr="00AC42A1">
        <w:rPr>
          <w:rFonts w:ascii="Palatino Linotype" w:hAnsi="Palatino Linotype" w:cstheme="minorHAnsi"/>
          <w:sz w:val="24"/>
          <w:szCs w:val="24"/>
        </w:rPr>
        <w:t xml:space="preserve"> from 01.01.2024.</w:t>
      </w:r>
    </w:p>
    <w:p w14:paraId="28FB9692" w14:textId="09F9CAC2" w:rsidR="00414DBE" w:rsidRPr="00AC42A1" w:rsidRDefault="00414DBE" w:rsidP="009036D4">
      <w:pPr>
        <w:ind w:firstLine="720"/>
        <w:jc w:val="both"/>
        <w:rPr>
          <w:rFonts w:ascii="Palatino Linotype" w:hAnsi="Palatino Linotype" w:cstheme="minorHAnsi"/>
          <w:sz w:val="24"/>
          <w:szCs w:val="24"/>
        </w:rPr>
      </w:pPr>
      <w:r w:rsidRPr="00AC42A1">
        <w:rPr>
          <w:rFonts w:ascii="Palatino Linotype" w:hAnsi="Palatino Linotype" w:cstheme="minorHAnsi"/>
          <w:sz w:val="24"/>
          <w:szCs w:val="24"/>
        </w:rPr>
        <w:t>2. Existing buildings of the relevant category, which are occupied by public bodies, must have a primary energy consumption at least in accordance with class "B".</w:t>
      </w:r>
    </w:p>
    <w:p w14:paraId="19D16654" w14:textId="77777777" w:rsidR="00A5228A" w:rsidRPr="00AC42A1" w:rsidRDefault="00A5228A" w:rsidP="009036D4">
      <w:pPr>
        <w:ind w:firstLine="720"/>
        <w:jc w:val="both"/>
        <w:rPr>
          <w:rFonts w:ascii="Palatino Linotype" w:hAnsi="Palatino Linotype" w:cstheme="minorHAnsi"/>
          <w:sz w:val="24"/>
          <w:szCs w:val="24"/>
          <w:lang w:val="bg-BG"/>
        </w:rPr>
      </w:pPr>
      <w:r w:rsidRPr="00AC42A1">
        <w:rPr>
          <w:rFonts w:ascii="Palatino Linotype" w:hAnsi="Palatino Linotype" w:cstheme="minorHAnsi"/>
          <w:sz w:val="24"/>
          <w:szCs w:val="24"/>
          <w:lang w:val="bg-BG"/>
        </w:rPr>
        <w:t xml:space="preserve">3. </w:t>
      </w:r>
      <w:proofErr w:type="spellStart"/>
      <w:r w:rsidRPr="00AC42A1">
        <w:rPr>
          <w:rFonts w:ascii="Palatino Linotype" w:hAnsi="Palatino Linotype" w:cstheme="minorHAnsi"/>
          <w:sz w:val="24"/>
          <w:szCs w:val="24"/>
          <w:lang w:val="bg-BG"/>
        </w:rPr>
        <w:t>All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existing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buildings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relevant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category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which</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are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not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occupied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public</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bodies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must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have</w:t>
      </w:r>
      <w:proofErr w:type="spellEnd"/>
      <w:r w:rsidRPr="00AC42A1">
        <w:rPr>
          <w:rFonts w:ascii="Palatino Linotype" w:hAnsi="Palatino Linotype" w:cstheme="minorHAnsi"/>
          <w:sz w:val="24"/>
          <w:szCs w:val="24"/>
          <w:lang w:val="bg-BG"/>
        </w:rPr>
        <w:t xml:space="preserve"> a </w:t>
      </w:r>
      <w:proofErr w:type="spellStart"/>
      <w:r w:rsidRPr="00AC42A1">
        <w:rPr>
          <w:rFonts w:ascii="Palatino Linotype" w:hAnsi="Palatino Linotype" w:cstheme="minorHAnsi"/>
          <w:sz w:val="24"/>
          <w:szCs w:val="24"/>
          <w:lang w:val="bg-BG"/>
        </w:rPr>
        <w:t>primary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consumption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least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class</w:t>
      </w:r>
      <w:proofErr w:type="spellEnd"/>
      <w:r w:rsidRPr="00AC42A1">
        <w:rPr>
          <w:rFonts w:ascii="Palatino Linotype" w:hAnsi="Palatino Linotype" w:cstheme="minorHAnsi"/>
          <w:sz w:val="24"/>
          <w:szCs w:val="24"/>
          <w:lang w:val="bg-BG"/>
        </w:rPr>
        <w:t xml:space="preserve"> "B".</w:t>
      </w:r>
    </w:p>
    <w:p w14:paraId="5D5F3FE5" w14:textId="5403B7CD" w:rsidR="00BE1A33" w:rsidRPr="00AC42A1" w:rsidRDefault="00776654" w:rsidP="009036D4">
      <w:pPr>
        <w:ind w:firstLine="720"/>
        <w:jc w:val="both"/>
        <w:rPr>
          <w:rFonts w:ascii="Palatino Linotype" w:hAnsi="Palatino Linotype" w:cstheme="minorHAnsi"/>
          <w:sz w:val="24"/>
          <w:szCs w:val="24"/>
          <w:lang w:val="bg-BG"/>
        </w:rPr>
      </w:pP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achieved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level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efficiency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assessed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according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to</w:t>
      </w:r>
      <w:proofErr w:type="spellEnd"/>
      <w:r w:rsidRPr="00AC42A1">
        <w:rPr>
          <w:rFonts w:ascii="Palatino Linotype" w:hAnsi="Palatino Linotype" w:cstheme="minorHAnsi"/>
          <w:sz w:val="24"/>
          <w:szCs w:val="24"/>
          <w:lang w:val="bg-BG"/>
        </w:rPr>
        <w:t xml:space="preserve"> a </w:t>
      </w:r>
      <w:proofErr w:type="spellStart"/>
      <w:r w:rsidRPr="00AC42A1">
        <w:rPr>
          <w:rFonts w:ascii="Palatino Linotype" w:hAnsi="Palatino Linotype" w:cstheme="minorHAnsi"/>
          <w:sz w:val="24"/>
          <w:szCs w:val="24"/>
          <w:lang w:val="bg-BG"/>
        </w:rPr>
        <w:t>scale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consumption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classes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for</w:t>
      </w:r>
      <w:proofErr w:type="spellEnd"/>
      <w:r w:rsidRPr="00AC42A1">
        <w:rPr>
          <w:rFonts w:ascii="Palatino Linotype" w:hAnsi="Palatino Linotype" w:cstheme="minorHAnsi"/>
          <w:sz w:val="24"/>
          <w:szCs w:val="24"/>
          <w:lang w:val="bg-BG"/>
        </w:rPr>
        <w:t xml:space="preserve"> 11 </w:t>
      </w:r>
      <w:proofErr w:type="spellStart"/>
      <w:r w:rsidRPr="00AC42A1">
        <w:rPr>
          <w:rFonts w:ascii="Palatino Linotype" w:hAnsi="Palatino Linotype" w:cstheme="minorHAnsi"/>
          <w:sz w:val="24"/>
          <w:szCs w:val="24"/>
          <w:lang w:val="bg-BG"/>
        </w:rPr>
        <w:t>categories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buildings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for</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which</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class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boundaries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are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normatively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determined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according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to</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methodological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framework</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Delegated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Regulation</w:t>
      </w:r>
      <w:proofErr w:type="spellEnd"/>
      <w:r w:rsidRPr="00AC42A1">
        <w:rPr>
          <w:rFonts w:ascii="Palatino Linotype" w:hAnsi="Palatino Linotype" w:cstheme="minorHAnsi"/>
          <w:sz w:val="24"/>
          <w:szCs w:val="24"/>
          <w:lang w:val="bg-BG"/>
        </w:rPr>
        <w:t xml:space="preserve"> (EU) </w:t>
      </w:r>
      <w:proofErr w:type="spellStart"/>
      <w:r w:rsidRPr="00AC42A1">
        <w:rPr>
          <w:rFonts w:ascii="Palatino Linotype" w:hAnsi="Palatino Linotype" w:cstheme="minorHAnsi"/>
          <w:sz w:val="24"/>
          <w:szCs w:val="24"/>
          <w:lang w:val="bg-BG"/>
        </w:rPr>
        <w:t>No</w:t>
      </w:r>
      <w:proofErr w:type="spellEnd"/>
      <w:r w:rsidRPr="00AC42A1">
        <w:rPr>
          <w:rFonts w:ascii="Palatino Linotype" w:hAnsi="Palatino Linotype" w:cstheme="minorHAnsi"/>
          <w:sz w:val="24"/>
          <w:szCs w:val="24"/>
          <w:lang w:val="bg-BG"/>
        </w:rPr>
        <w:t xml:space="preserve">. 244/2012.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calculations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are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carried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out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according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to</w:t>
      </w:r>
      <w:proofErr w:type="spellEnd"/>
      <w:r w:rsidRPr="00AC42A1">
        <w:rPr>
          <w:rFonts w:ascii="Palatino Linotype" w:hAnsi="Palatino Linotype" w:cstheme="minorHAnsi"/>
          <w:sz w:val="24"/>
          <w:szCs w:val="24"/>
          <w:lang w:val="bg-BG"/>
        </w:rPr>
        <w:t xml:space="preserve"> a </w:t>
      </w:r>
      <w:proofErr w:type="spellStart"/>
      <w:r w:rsidRPr="00AC42A1">
        <w:rPr>
          <w:rFonts w:ascii="Palatino Linotype" w:hAnsi="Palatino Linotype" w:cstheme="minorHAnsi"/>
          <w:sz w:val="24"/>
          <w:szCs w:val="24"/>
          <w:lang w:val="bg-BG"/>
        </w:rPr>
        <w:t>national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methodology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developed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accordance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with</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European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standards</w:t>
      </w:r>
      <w:proofErr w:type="spellEnd"/>
      <w:r w:rsidRPr="00AC42A1">
        <w:rPr>
          <w:rFonts w:ascii="Palatino Linotype" w:hAnsi="Palatino Linotype" w:cstheme="minorHAnsi"/>
          <w:sz w:val="24"/>
          <w:szCs w:val="24"/>
          <w:lang w:val="bg-BG"/>
        </w:rPr>
        <w:t xml:space="preserve"> EN ISO 52000-1, EN ISO 52003-1, EN ISO 52010-1, EN ISO </w:t>
      </w:r>
      <w:proofErr w:type="spellStart"/>
      <w:r w:rsidRPr="00AC42A1">
        <w:rPr>
          <w:rFonts w:ascii="Palatino Linotype" w:hAnsi="Palatino Linotype" w:cstheme="minorHAnsi"/>
          <w:sz w:val="24"/>
          <w:szCs w:val="24"/>
          <w:lang w:val="bg-BG"/>
        </w:rPr>
        <w:t>ISO</w:t>
      </w:r>
      <w:proofErr w:type="spellEnd"/>
      <w:r w:rsidRPr="00AC42A1">
        <w:rPr>
          <w:rFonts w:ascii="Palatino Linotype" w:hAnsi="Palatino Linotype" w:cstheme="minorHAnsi"/>
          <w:sz w:val="24"/>
          <w:szCs w:val="24"/>
          <w:lang w:val="bg-BG"/>
        </w:rPr>
        <w:t xml:space="preserve"> 52016-1 </w:t>
      </w:r>
      <w:proofErr w:type="spellStart"/>
      <w:r w:rsidRPr="00AC42A1">
        <w:rPr>
          <w:rFonts w:ascii="Palatino Linotype" w:hAnsi="Palatino Linotype" w:cstheme="minorHAnsi"/>
          <w:sz w:val="24"/>
          <w:szCs w:val="24"/>
          <w:lang w:val="bg-BG"/>
        </w:rPr>
        <w:t>and</w:t>
      </w:r>
      <w:proofErr w:type="spellEnd"/>
      <w:r w:rsidRPr="00AC42A1">
        <w:rPr>
          <w:rFonts w:ascii="Palatino Linotype" w:hAnsi="Palatino Linotype" w:cstheme="minorHAnsi"/>
          <w:sz w:val="24"/>
          <w:szCs w:val="24"/>
          <w:lang w:val="bg-BG"/>
        </w:rPr>
        <w:t xml:space="preserve"> EN ISO 52018-1, </w:t>
      </w:r>
      <w:proofErr w:type="spellStart"/>
      <w:r w:rsidRPr="00AC42A1">
        <w:rPr>
          <w:rFonts w:ascii="Palatino Linotype" w:hAnsi="Palatino Linotype" w:cstheme="minorHAnsi"/>
          <w:sz w:val="24"/>
          <w:szCs w:val="24"/>
          <w:lang w:val="bg-BG"/>
        </w:rPr>
        <w:t>which</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are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part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a </w:t>
      </w:r>
      <w:proofErr w:type="spellStart"/>
      <w:r w:rsidRPr="00AC42A1">
        <w:rPr>
          <w:rFonts w:ascii="Palatino Linotype" w:hAnsi="Palatino Linotype" w:cstheme="minorHAnsi"/>
          <w:sz w:val="24"/>
          <w:szCs w:val="24"/>
          <w:lang w:val="bg-BG"/>
        </w:rPr>
        <w:t>series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standards</w:t>
      </w:r>
      <w:proofErr w:type="spellEnd"/>
      <w:r w:rsidRPr="00AC42A1">
        <w:rPr>
          <w:rFonts w:ascii="Palatino Linotype" w:hAnsi="Palatino Linotype" w:cstheme="minorHAnsi"/>
          <w:sz w:val="24"/>
          <w:szCs w:val="24"/>
          <w:lang w:val="bg-BG"/>
        </w:rPr>
        <w:t xml:space="preserve"> , </w:t>
      </w:r>
      <w:proofErr w:type="spellStart"/>
      <w:r w:rsidRPr="00AC42A1">
        <w:rPr>
          <w:rFonts w:ascii="Palatino Linotype" w:hAnsi="Palatino Linotype" w:cstheme="minorHAnsi"/>
          <w:sz w:val="24"/>
          <w:szCs w:val="24"/>
          <w:lang w:val="bg-BG"/>
        </w:rPr>
        <w:t>aimed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international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harmonization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methodology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for</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evaluating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performance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buildings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according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to</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General </w:t>
      </w:r>
      <w:proofErr w:type="spellStart"/>
      <w:r w:rsidRPr="00AC42A1">
        <w:rPr>
          <w:rFonts w:ascii="Palatino Linotype" w:hAnsi="Palatino Linotype" w:cstheme="minorHAnsi"/>
          <w:sz w:val="24"/>
          <w:szCs w:val="24"/>
          <w:lang w:val="bg-BG"/>
        </w:rPr>
        <w:t>framework</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for</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calculating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performance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buildings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defined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Directive</w:t>
      </w:r>
      <w:proofErr w:type="spellEnd"/>
      <w:r w:rsidRPr="00AC42A1">
        <w:rPr>
          <w:rFonts w:ascii="Palatino Linotype" w:hAnsi="Palatino Linotype" w:cstheme="minorHAnsi"/>
          <w:sz w:val="24"/>
          <w:szCs w:val="24"/>
          <w:lang w:val="bg-BG"/>
        </w:rPr>
        <w:t xml:space="preserve"> 2010/31/EU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European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Parliament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and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Council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19 </w:t>
      </w:r>
      <w:proofErr w:type="spellStart"/>
      <w:r w:rsidRPr="00AC42A1">
        <w:rPr>
          <w:rFonts w:ascii="Palatino Linotype" w:hAnsi="Palatino Linotype" w:cstheme="minorHAnsi"/>
          <w:sz w:val="24"/>
          <w:szCs w:val="24"/>
          <w:lang w:val="bg-BG"/>
        </w:rPr>
        <w:t>May</w:t>
      </w:r>
      <w:proofErr w:type="spellEnd"/>
      <w:r w:rsidRPr="00AC42A1">
        <w:rPr>
          <w:rFonts w:ascii="Palatino Linotype" w:hAnsi="Palatino Linotype" w:cstheme="minorHAnsi"/>
          <w:sz w:val="24"/>
          <w:szCs w:val="24"/>
          <w:lang w:val="bg-BG"/>
        </w:rPr>
        <w:t xml:space="preserve"> 2010 </w:t>
      </w:r>
      <w:proofErr w:type="spellStart"/>
      <w:r w:rsidRPr="00AC42A1">
        <w:rPr>
          <w:rFonts w:ascii="Palatino Linotype" w:hAnsi="Palatino Linotype" w:cstheme="minorHAnsi"/>
          <w:sz w:val="24"/>
          <w:szCs w:val="24"/>
          <w:lang w:val="bg-BG"/>
        </w:rPr>
        <w:t>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performance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buildings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amended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Directive</w:t>
      </w:r>
      <w:proofErr w:type="spellEnd"/>
      <w:r w:rsidRPr="00AC42A1">
        <w:rPr>
          <w:rFonts w:ascii="Palatino Linotype" w:hAnsi="Palatino Linotype" w:cstheme="minorHAnsi"/>
          <w:sz w:val="24"/>
          <w:szCs w:val="24"/>
          <w:lang w:val="bg-BG"/>
        </w:rPr>
        <w:t xml:space="preserve"> (EU) 2018/844).</w:t>
      </w:r>
    </w:p>
    <w:p w14:paraId="2DAF218B" w14:textId="77777777" w:rsidR="00776654" w:rsidRPr="00AC42A1" w:rsidRDefault="00776654" w:rsidP="009036D4">
      <w:pPr>
        <w:ind w:firstLine="720"/>
        <w:jc w:val="both"/>
        <w:rPr>
          <w:rFonts w:ascii="Palatino Linotype" w:hAnsi="Palatino Linotype" w:cstheme="minorHAnsi"/>
          <w:sz w:val="24"/>
          <w:szCs w:val="24"/>
          <w:lang w:val="bg-BG"/>
        </w:rPr>
      </w:pPr>
    </w:p>
    <w:p w14:paraId="1C3053B1" w14:textId="2AAEF790" w:rsidR="00C6154D" w:rsidRPr="00AC42A1" w:rsidRDefault="00776654" w:rsidP="009036D4">
      <w:pPr>
        <w:ind w:firstLine="720"/>
        <w:jc w:val="both"/>
        <w:rPr>
          <w:rFonts w:ascii="Palatino Linotype" w:hAnsi="Palatino Linotype" w:cstheme="minorHAnsi"/>
          <w:sz w:val="24"/>
          <w:szCs w:val="24"/>
          <w:lang w:val="bg-BG"/>
        </w:rPr>
      </w:pPr>
      <w:proofErr w:type="spellStart"/>
      <w:r w:rsidRPr="00AC42A1">
        <w:rPr>
          <w:rFonts w:ascii="Palatino Linotype" w:hAnsi="Palatino Linotype" w:cstheme="minorHAnsi"/>
          <w:sz w:val="24"/>
          <w:szCs w:val="24"/>
          <w:lang w:val="bg-BG"/>
        </w:rPr>
        <w:t>Any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investment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w:t>
      </w:r>
      <w:proofErr w:type="spellEnd"/>
      <w:r w:rsidRPr="00AC42A1">
        <w:rPr>
          <w:rFonts w:ascii="Palatino Linotype" w:hAnsi="Palatino Linotype" w:cstheme="minorHAnsi"/>
          <w:sz w:val="24"/>
          <w:szCs w:val="24"/>
          <w:lang w:val="bg-BG"/>
        </w:rPr>
        <w:t xml:space="preserve"> </w:t>
      </w:r>
      <w:r w:rsidRPr="00AC42A1">
        <w:rPr>
          <w:rFonts w:ascii="Palatino Linotype" w:hAnsi="Palatino Linotype" w:cstheme="minorHAnsi"/>
          <w:sz w:val="24"/>
          <w:szCs w:val="24"/>
        </w:rPr>
        <w:t>infrastructure</w:t>
      </w:r>
      <w:proofErr w:type="spellStart"/>
      <w:r w:rsidRPr="00AC42A1">
        <w:rPr>
          <w:rFonts w:ascii="Palatino Linotype" w:hAnsi="Palatino Linotype" w:cstheme="minorHAnsi"/>
          <w:sz w:val="24"/>
          <w:szCs w:val="24"/>
          <w:lang w:val="bg-BG"/>
        </w:rPr>
        <w:t>that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includes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reconstruction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should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include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part</w:t>
      </w:r>
      <w:proofErr w:type="spellEnd"/>
      <w:r w:rsidRPr="00AC42A1">
        <w:rPr>
          <w:rFonts w:ascii="Palatino Linotype" w:hAnsi="Palatino Linotype" w:cstheme="minorHAnsi"/>
          <w:sz w:val="24"/>
          <w:szCs w:val="24"/>
          <w:lang w:val="bg-BG"/>
        </w:rPr>
        <w:t xml:space="preserve"> "</w:t>
      </w:r>
      <w:r w:rsidR="000F1898" w:rsidRPr="00AC42A1">
        <w:rPr>
          <w:rFonts w:ascii="Palatino Linotype" w:hAnsi="Palatino Linotype" w:cstheme="minorHAnsi"/>
          <w:sz w:val="24"/>
          <w:szCs w:val="24"/>
        </w:rPr>
        <w:t>Energy efficiency</w:t>
      </w:r>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technical</w:t>
      </w:r>
      <w:proofErr w:type="spellEnd"/>
      <w:r w:rsidRPr="00AC42A1">
        <w:rPr>
          <w:rFonts w:ascii="Palatino Linotype" w:hAnsi="Palatino Linotype" w:cstheme="minorHAnsi"/>
          <w:sz w:val="24"/>
          <w:szCs w:val="24"/>
          <w:lang w:val="bg-BG"/>
        </w:rPr>
        <w:t>/</w:t>
      </w:r>
      <w:proofErr w:type="spellStart"/>
      <w:r w:rsidRPr="00AC42A1">
        <w:rPr>
          <w:rFonts w:ascii="Palatino Linotype" w:hAnsi="Palatino Linotype" w:cstheme="minorHAnsi"/>
          <w:sz w:val="24"/>
          <w:szCs w:val="24"/>
          <w:lang w:val="bg-BG"/>
        </w:rPr>
        <w:t>work</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design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from</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which</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evident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that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after</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implementation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investment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class</w:t>
      </w:r>
      <w:proofErr w:type="spellEnd"/>
      <w:r w:rsidRPr="00AC42A1">
        <w:rPr>
          <w:rFonts w:ascii="Palatino Linotype" w:hAnsi="Palatino Linotype" w:cstheme="minorHAnsi"/>
          <w:sz w:val="24"/>
          <w:szCs w:val="24"/>
          <w:lang w:val="bg-BG"/>
        </w:rPr>
        <w:t xml:space="preserve"> "B"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building</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will</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be</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achieved</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or</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that</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savings</w:t>
      </w:r>
      <w:proofErr w:type="spellEnd"/>
      <w:r w:rsidRPr="00AC42A1">
        <w:rPr>
          <w:rFonts w:ascii="Palatino Linotype" w:hAnsi="Palatino Linotype" w:cstheme="minorHAnsi"/>
          <w:sz w:val="24"/>
          <w:szCs w:val="24"/>
          <w:lang w:val="bg-BG"/>
        </w:rPr>
        <w:t xml:space="preserve"> </w:t>
      </w:r>
      <w:r w:rsidR="00C6154D" w:rsidRPr="00AC42A1">
        <w:rPr>
          <w:rFonts w:ascii="Palatino Linotype" w:hAnsi="Palatino Linotype" w:cstheme="minorHAnsi"/>
          <w:sz w:val="24"/>
          <w:szCs w:val="24"/>
        </w:rPr>
        <w:t>on</w:t>
      </w:r>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consumption</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of</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primary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energy</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kWh</w:t>
      </w:r>
      <w:proofErr w:type="spellEnd"/>
      <w:r w:rsidRPr="00AC42A1">
        <w:rPr>
          <w:rFonts w:ascii="Palatino Linotype" w:hAnsi="Palatino Linotype" w:cstheme="minorHAnsi"/>
          <w:sz w:val="24"/>
          <w:szCs w:val="24"/>
          <w:lang w:val="bg-BG"/>
        </w:rPr>
        <w:t xml:space="preserve">/m2yr.) </w:t>
      </w:r>
      <w:r w:rsidR="00C6154D" w:rsidRPr="00AC42A1">
        <w:rPr>
          <w:rFonts w:ascii="Palatino Linotype" w:hAnsi="Palatino Linotype" w:cstheme="minorHAnsi"/>
          <w:sz w:val="24"/>
          <w:szCs w:val="24"/>
        </w:rPr>
        <w:t>will be no</w:t>
      </w:r>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less</w:t>
      </w:r>
      <w:proofErr w:type="spellEnd"/>
      <w:r w:rsidRPr="00AC42A1">
        <w:rPr>
          <w:rFonts w:ascii="Palatino Linotype" w:hAnsi="Palatino Linotype" w:cstheme="minorHAnsi"/>
          <w:sz w:val="24"/>
          <w:szCs w:val="24"/>
          <w:lang w:val="bg-BG"/>
        </w:rPr>
        <w:t xml:space="preserve"> </w:t>
      </w:r>
      <w:proofErr w:type="spellStart"/>
      <w:r w:rsidRPr="00AC42A1">
        <w:rPr>
          <w:rFonts w:ascii="Palatino Linotype" w:hAnsi="Palatino Linotype" w:cstheme="minorHAnsi"/>
          <w:sz w:val="24"/>
          <w:szCs w:val="24"/>
          <w:lang w:val="bg-BG"/>
        </w:rPr>
        <w:t>than</w:t>
      </w:r>
      <w:proofErr w:type="spellEnd"/>
      <w:r w:rsidRPr="00AC42A1">
        <w:rPr>
          <w:rFonts w:ascii="Palatino Linotype" w:hAnsi="Palatino Linotype" w:cstheme="minorHAnsi"/>
          <w:sz w:val="24"/>
          <w:szCs w:val="24"/>
          <w:lang w:val="bg-BG"/>
        </w:rPr>
        <w:t xml:space="preserve"> 5-10%.</w:t>
      </w:r>
    </w:p>
    <w:p w14:paraId="155C0723" w14:textId="4AB94A18" w:rsidR="000F1898" w:rsidRPr="00AC42A1" w:rsidRDefault="000F1898" w:rsidP="009036D4">
      <w:pPr>
        <w:ind w:firstLine="720"/>
        <w:jc w:val="both"/>
        <w:rPr>
          <w:rFonts w:ascii="Palatino Linotype" w:hAnsi="Palatino Linotype" w:cstheme="minorHAnsi"/>
          <w:i/>
          <w:sz w:val="24"/>
          <w:szCs w:val="24"/>
          <w:u w:val="single"/>
        </w:rPr>
      </w:pPr>
      <w:r w:rsidRPr="00AC42A1">
        <w:rPr>
          <w:rFonts w:ascii="Palatino Linotype" w:hAnsi="Palatino Linotype" w:cstheme="minorHAnsi"/>
          <w:i/>
          <w:sz w:val="24"/>
          <w:szCs w:val="24"/>
          <w:u w:val="single"/>
        </w:rPr>
        <w:t xml:space="preserve">For </w:t>
      </w:r>
      <w:r w:rsidR="00CA6EEE" w:rsidRPr="00AC42A1">
        <w:rPr>
          <w:rFonts w:ascii="Palatino Linotype" w:hAnsi="Palatino Linotype" w:cstheme="minorHAnsi"/>
          <w:i/>
          <w:sz w:val="24"/>
          <w:szCs w:val="24"/>
          <w:u w:val="single"/>
        </w:rPr>
        <w:t xml:space="preserve">the </w:t>
      </w:r>
      <w:r w:rsidRPr="00AC42A1">
        <w:rPr>
          <w:rFonts w:ascii="Palatino Linotype" w:hAnsi="Palatino Linotype" w:cstheme="minorHAnsi"/>
          <w:i/>
          <w:sz w:val="24"/>
          <w:szCs w:val="24"/>
          <w:u w:val="single"/>
        </w:rPr>
        <w:t xml:space="preserve">first part of the declaration use data from technical/work design plan of the infrastructure </w:t>
      </w:r>
      <w:r w:rsidR="00CA6EEE" w:rsidRPr="00AC42A1">
        <w:rPr>
          <w:rFonts w:ascii="Palatino Linotype" w:hAnsi="Palatino Linotype" w:cstheme="minorHAnsi"/>
          <w:i/>
          <w:sz w:val="24"/>
          <w:szCs w:val="24"/>
          <w:u w:val="single"/>
        </w:rPr>
        <w:t xml:space="preserve">or ask energy efficiency specialist to evaluate your investment. </w:t>
      </w:r>
    </w:p>
    <w:p w14:paraId="415C5D66" w14:textId="77777777" w:rsidR="00CA6EEE" w:rsidRPr="00AC42A1" w:rsidRDefault="00CA6EEE" w:rsidP="009036D4">
      <w:pPr>
        <w:ind w:firstLine="720"/>
        <w:jc w:val="both"/>
        <w:rPr>
          <w:rFonts w:ascii="Palatino Linotype" w:hAnsi="Palatino Linotype" w:cstheme="minorHAnsi"/>
          <w:i/>
          <w:sz w:val="24"/>
          <w:szCs w:val="24"/>
          <w:u w:val="single"/>
        </w:rPr>
      </w:pPr>
    </w:p>
    <w:p w14:paraId="67A82F57" w14:textId="65258A93" w:rsidR="00711623" w:rsidRPr="00AC42A1" w:rsidRDefault="00711623" w:rsidP="00CA6EEE">
      <w:pPr>
        <w:pStyle w:val="ListParagraph"/>
        <w:numPr>
          <w:ilvl w:val="0"/>
          <w:numId w:val="9"/>
        </w:numPr>
        <w:jc w:val="both"/>
        <w:rPr>
          <w:rFonts w:ascii="Palatino Linotype" w:hAnsi="Palatino Linotype" w:cstheme="minorHAnsi"/>
          <w:b/>
          <w:sz w:val="26"/>
          <w:szCs w:val="26"/>
        </w:rPr>
      </w:pPr>
      <w:r w:rsidRPr="00AC42A1">
        <w:rPr>
          <w:rFonts w:ascii="Palatino Linotype" w:hAnsi="Palatino Linotype" w:cstheme="minorHAnsi"/>
          <w:b/>
          <w:sz w:val="26"/>
          <w:szCs w:val="26"/>
        </w:rPr>
        <w:t xml:space="preserve">Second </w:t>
      </w:r>
      <w:r w:rsidR="00C6154D" w:rsidRPr="00AC42A1">
        <w:rPr>
          <w:rFonts w:ascii="Palatino Linotype" w:hAnsi="Palatino Linotype" w:cstheme="minorHAnsi"/>
          <w:b/>
          <w:sz w:val="26"/>
          <w:szCs w:val="26"/>
        </w:rPr>
        <w:t>step</w:t>
      </w:r>
      <w:r w:rsidRPr="00AC42A1">
        <w:rPr>
          <w:rFonts w:ascii="Palatino Linotype" w:hAnsi="Palatino Linotype" w:cstheme="minorHAnsi"/>
          <w:b/>
          <w:sz w:val="26"/>
          <w:szCs w:val="26"/>
        </w:rPr>
        <w:t xml:space="preserve"> ‘Carbon Footprint assessment’ of the investment </w:t>
      </w:r>
    </w:p>
    <w:tbl>
      <w:tblPr>
        <w:tblStyle w:val="TableGrid"/>
        <w:tblW w:w="10065" w:type="dxa"/>
        <w:tblInd w:w="-289" w:type="dxa"/>
        <w:tblLook w:val="04A0" w:firstRow="1" w:lastRow="0" w:firstColumn="1" w:lastColumn="0" w:noHBand="0" w:noVBand="1"/>
      </w:tblPr>
      <w:tblGrid>
        <w:gridCol w:w="1365"/>
        <w:gridCol w:w="771"/>
        <w:gridCol w:w="856"/>
        <w:gridCol w:w="1172"/>
        <w:gridCol w:w="1218"/>
        <w:gridCol w:w="512"/>
        <w:gridCol w:w="1312"/>
        <w:gridCol w:w="2859"/>
      </w:tblGrid>
      <w:tr w:rsidR="00C40AA3" w:rsidRPr="00C40AA3" w14:paraId="3C92532F" w14:textId="77777777" w:rsidTr="00B452FE">
        <w:tc>
          <w:tcPr>
            <w:tcW w:w="1268" w:type="dxa"/>
          </w:tcPr>
          <w:p w14:paraId="098BB4C8" w14:textId="77777777" w:rsidR="00C40AA3" w:rsidRPr="00C40AA3" w:rsidRDefault="00C40AA3" w:rsidP="00B452FE">
            <w:pPr>
              <w:rPr>
                <w:rFonts w:ascii="Palatino Linotype" w:hAnsi="Palatino Linotype" w:cstheme="minorHAnsi"/>
                <w:color w:val="231F20"/>
              </w:rPr>
            </w:pPr>
            <w:r w:rsidRPr="00C40AA3">
              <w:rPr>
                <w:rFonts w:ascii="Palatino Linotype" w:hAnsi="Palatino Linotype" w:cstheme="minorHAnsi"/>
              </w:rPr>
              <w:lastRenderedPageBreak/>
              <w:t>‘</w:t>
            </w:r>
            <w:r w:rsidRPr="00C40AA3">
              <w:rPr>
                <w:rFonts w:ascii="Palatino Linotype" w:hAnsi="Palatino Linotype" w:cstheme="minorHAnsi"/>
                <w:color w:val="231F20"/>
              </w:rPr>
              <w:t xml:space="preserve">Carbon Footprint assessment’ of the investment </w:t>
            </w:r>
          </w:p>
          <w:p w14:paraId="4FA30830" w14:textId="77777777" w:rsidR="00C40AA3" w:rsidRPr="00C40AA3" w:rsidRDefault="00C40AA3" w:rsidP="00B452FE">
            <w:pPr>
              <w:rPr>
                <w:rFonts w:ascii="Palatino Linotype" w:hAnsi="Palatino Linotype" w:cstheme="minorHAnsi"/>
              </w:rPr>
            </w:pPr>
          </w:p>
        </w:tc>
        <w:tc>
          <w:tcPr>
            <w:tcW w:w="790" w:type="dxa"/>
          </w:tcPr>
          <w:p w14:paraId="3C7E07BC"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 xml:space="preserve">Yes </w:t>
            </w:r>
          </w:p>
        </w:tc>
        <w:tc>
          <w:tcPr>
            <w:tcW w:w="886" w:type="dxa"/>
          </w:tcPr>
          <w:p w14:paraId="49FB7929"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No</w:t>
            </w:r>
          </w:p>
        </w:tc>
        <w:tc>
          <w:tcPr>
            <w:tcW w:w="1054" w:type="dxa"/>
          </w:tcPr>
          <w:p w14:paraId="4F63E6C5"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No effect on the CO</w:t>
            </w:r>
            <w:r w:rsidRPr="00C40AA3">
              <w:rPr>
                <w:rFonts w:ascii="Palatino Linotype" w:hAnsi="Palatino Linotype" w:cstheme="minorHAnsi"/>
                <w:vertAlign w:val="subscript"/>
              </w:rPr>
              <w:t xml:space="preserve">2 </w:t>
            </w:r>
            <w:r w:rsidRPr="00C40AA3">
              <w:rPr>
                <w:rFonts w:ascii="Palatino Linotype" w:hAnsi="Palatino Linotype" w:cstheme="minorHAnsi"/>
              </w:rPr>
              <w:t>emissions</w:t>
            </w:r>
          </w:p>
        </w:tc>
        <w:tc>
          <w:tcPr>
            <w:tcW w:w="1096" w:type="dxa"/>
          </w:tcPr>
          <w:p w14:paraId="4698FB58"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 xml:space="preserve">Not applicable </w:t>
            </w:r>
          </w:p>
        </w:tc>
        <w:tc>
          <w:tcPr>
            <w:tcW w:w="537" w:type="dxa"/>
          </w:tcPr>
          <w:p w14:paraId="75EF2865" w14:textId="77777777" w:rsidR="00C40AA3" w:rsidRPr="00C40AA3" w:rsidRDefault="00C40AA3" w:rsidP="00B452FE">
            <w:pPr>
              <w:rPr>
                <w:rFonts w:ascii="Palatino Linotype" w:hAnsi="Palatino Linotype" w:cstheme="minorHAnsi"/>
              </w:rPr>
            </w:pPr>
          </w:p>
        </w:tc>
        <w:tc>
          <w:tcPr>
            <w:tcW w:w="1407" w:type="dxa"/>
          </w:tcPr>
          <w:p w14:paraId="72EDAB31" w14:textId="77777777" w:rsidR="00C40AA3" w:rsidRPr="00C40AA3" w:rsidRDefault="00C40AA3" w:rsidP="00B452FE">
            <w:pPr>
              <w:rPr>
                <w:rFonts w:ascii="Palatino Linotype" w:hAnsi="Palatino Linotype" w:cstheme="minorHAnsi"/>
              </w:rPr>
            </w:pPr>
          </w:p>
        </w:tc>
        <w:tc>
          <w:tcPr>
            <w:tcW w:w="3027" w:type="dxa"/>
          </w:tcPr>
          <w:p w14:paraId="22CD646C" w14:textId="77777777" w:rsidR="00C40AA3" w:rsidRPr="00C40AA3" w:rsidRDefault="00C40AA3" w:rsidP="00B452FE">
            <w:pPr>
              <w:rPr>
                <w:rFonts w:ascii="Palatino Linotype" w:hAnsi="Palatino Linotype" w:cstheme="minorHAnsi"/>
              </w:rPr>
            </w:pPr>
            <w:r w:rsidRPr="00C40AA3">
              <w:rPr>
                <w:rFonts w:ascii="Palatino Linotype" w:hAnsi="Palatino Linotype" w:cstheme="minorHAnsi"/>
              </w:rPr>
              <w:t>If, your answer is “NO” or “N/a” please explain why</w:t>
            </w:r>
          </w:p>
        </w:tc>
      </w:tr>
    </w:tbl>
    <w:p w14:paraId="68D68A7C" w14:textId="781E9FFC" w:rsidR="00C40AA3" w:rsidRDefault="00C40AA3" w:rsidP="009036D4">
      <w:pPr>
        <w:jc w:val="both"/>
        <w:rPr>
          <w:rFonts w:ascii="Palatino Linotype" w:hAnsi="Palatino Linotype" w:cstheme="minorHAnsi"/>
          <w:sz w:val="24"/>
          <w:szCs w:val="24"/>
        </w:rPr>
      </w:pPr>
    </w:p>
    <w:p w14:paraId="10FD50E1" w14:textId="6D5CB565" w:rsidR="00C40AA3" w:rsidRDefault="00C40AA3" w:rsidP="00C40AA3">
      <w:pPr>
        <w:spacing w:beforeAutospacing="1" w:after="0" w:afterAutospacing="1" w:line="240" w:lineRule="auto"/>
        <w:jc w:val="both"/>
        <w:rPr>
          <w:rFonts w:ascii="Palatino Linotype" w:eastAsia="Times New Roman" w:hAnsi="Palatino Linotype" w:cs="Times New Roman"/>
          <w:sz w:val="24"/>
          <w:szCs w:val="24"/>
        </w:rPr>
      </w:pPr>
      <w:r>
        <w:rPr>
          <w:rFonts w:ascii="Palatino Linotype" w:eastAsia="Times New Roman" w:hAnsi="Palatino Linotype" w:cs="Times New Roman"/>
          <w:sz w:val="24"/>
          <w:szCs w:val="24"/>
        </w:rPr>
        <w:t>Chose one of the options from the dropdown menu on the left of this table!</w:t>
      </w:r>
    </w:p>
    <w:p w14:paraId="7A438C5B" w14:textId="77777777" w:rsidR="00C40AA3" w:rsidRPr="00AC42A1" w:rsidRDefault="00C40AA3" w:rsidP="00C40AA3">
      <w:pPr>
        <w:shd w:val="clear" w:color="auto" w:fill="FFFFFF"/>
        <w:spacing w:before="100" w:beforeAutospacing="1" w:after="100" w:afterAutospacing="1" w:line="240" w:lineRule="auto"/>
        <w:ind w:left="720"/>
        <w:jc w:val="both"/>
        <w:rPr>
          <w:rFonts w:ascii="Palatino Linotype" w:eastAsia="Times New Roman" w:hAnsi="Palatino Linotype" w:cstheme="minorHAnsi"/>
          <w:i/>
          <w:sz w:val="24"/>
          <w:szCs w:val="24"/>
          <w:u w:val="single"/>
        </w:rPr>
      </w:pPr>
      <w:r w:rsidRPr="00AC42A1">
        <w:rPr>
          <w:rFonts w:ascii="Palatino Linotype" w:hAnsi="Palatino Linotype" w:cstheme="minorHAnsi"/>
          <w:i/>
          <w:sz w:val="24"/>
          <w:szCs w:val="24"/>
          <w:u w:val="single"/>
        </w:rPr>
        <w:t xml:space="preserve">For this step use data from technical/ work design and </w:t>
      </w:r>
      <w:r w:rsidRPr="00AC42A1">
        <w:rPr>
          <w:rFonts w:ascii="Palatino Linotype" w:eastAsia="Times New Roman" w:hAnsi="Palatino Linotype" w:cstheme="minorHAnsi"/>
          <w:i/>
          <w:sz w:val="24"/>
          <w:szCs w:val="24"/>
          <w:u w:val="single"/>
        </w:rPr>
        <w:t xml:space="preserve">Bill of Quantities </w:t>
      </w:r>
    </w:p>
    <w:p w14:paraId="6CFF622A" w14:textId="13DEE3D1" w:rsidR="00487A1D" w:rsidRPr="00AC42A1" w:rsidRDefault="00487A1D" w:rsidP="009036D4">
      <w:pPr>
        <w:jc w:val="both"/>
        <w:rPr>
          <w:rFonts w:ascii="Palatino Linotype" w:hAnsi="Palatino Linotype" w:cstheme="minorHAnsi"/>
          <w:sz w:val="24"/>
          <w:szCs w:val="24"/>
        </w:rPr>
      </w:pPr>
      <w:r w:rsidRPr="00AC42A1">
        <w:rPr>
          <w:rFonts w:ascii="Palatino Linotype" w:hAnsi="Palatino Linotype" w:cstheme="minorHAnsi"/>
          <w:sz w:val="24"/>
          <w:szCs w:val="24"/>
        </w:rPr>
        <w:t>The greenhouse gases included in the EIB carbon footprint methodology include the seven gases listed in the UNFCCC Kyoto Protocol), namely: carbon dioxide (</w:t>
      </w:r>
      <w:proofErr w:type="gramStart"/>
      <w:r w:rsidRPr="00AC42A1">
        <w:rPr>
          <w:rFonts w:ascii="Palatino Linotype" w:hAnsi="Palatino Linotype" w:cstheme="minorHAnsi"/>
          <w:sz w:val="24"/>
          <w:szCs w:val="24"/>
        </w:rPr>
        <w:t>CO</w:t>
      </w:r>
      <w:r w:rsidRPr="00AC42A1">
        <w:rPr>
          <w:rFonts w:ascii="Palatino Linotype" w:hAnsi="Palatino Linotype" w:cstheme="minorHAnsi"/>
          <w:sz w:val="24"/>
          <w:szCs w:val="24"/>
          <w:vertAlign w:val="subscript"/>
        </w:rPr>
        <w:t xml:space="preserve">2 </w:t>
      </w:r>
      <w:r w:rsidRPr="00AC42A1">
        <w:rPr>
          <w:rFonts w:ascii="Palatino Linotype" w:hAnsi="Palatino Linotype" w:cstheme="minorHAnsi"/>
          <w:sz w:val="24"/>
          <w:szCs w:val="24"/>
        </w:rPr>
        <w:t>)</w:t>
      </w:r>
      <w:proofErr w:type="gramEnd"/>
      <w:r w:rsidRPr="00AC42A1">
        <w:rPr>
          <w:rFonts w:ascii="Palatino Linotype" w:hAnsi="Palatino Linotype" w:cstheme="minorHAnsi"/>
          <w:sz w:val="24"/>
          <w:szCs w:val="24"/>
        </w:rPr>
        <w:t>; me</w:t>
      </w:r>
      <w:r w:rsidR="00C6154D" w:rsidRPr="00AC42A1">
        <w:rPr>
          <w:rFonts w:ascii="Palatino Linotype" w:hAnsi="Palatino Linotype" w:cstheme="minorHAnsi"/>
          <w:sz w:val="24"/>
          <w:szCs w:val="24"/>
        </w:rPr>
        <w:t>thane (CH</w:t>
      </w:r>
      <w:r w:rsidR="00C6154D" w:rsidRPr="00AC42A1">
        <w:rPr>
          <w:rFonts w:ascii="Palatino Linotype" w:hAnsi="Palatino Linotype" w:cstheme="minorHAnsi"/>
          <w:sz w:val="24"/>
          <w:szCs w:val="24"/>
          <w:vertAlign w:val="subscript"/>
        </w:rPr>
        <w:t>4</w:t>
      </w:r>
      <w:r w:rsidR="00C6154D" w:rsidRPr="00AC42A1">
        <w:rPr>
          <w:rFonts w:ascii="Palatino Linotype" w:hAnsi="Palatino Linotype" w:cstheme="minorHAnsi"/>
          <w:sz w:val="24"/>
          <w:szCs w:val="24"/>
        </w:rPr>
        <w:t xml:space="preserve"> ); nitrous oxide (N</w:t>
      </w:r>
      <w:r w:rsidRPr="00AC42A1">
        <w:rPr>
          <w:rFonts w:ascii="Palatino Linotype" w:hAnsi="Palatino Linotype" w:cstheme="minorHAnsi"/>
          <w:sz w:val="24"/>
          <w:szCs w:val="24"/>
          <w:vertAlign w:val="subscript"/>
        </w:rPr>
        <w:t>2</w:t>
      </w:r>
      <w:r w:rsidRPr="00AC42A1">
        <w:rPr>
          <w:rFonts w:ascii="Palatino Linotype" w:hAnsi="Palatino Linotype" w:cstheme="minorHAnsi"/>
          <w:sz w:val="24"/>
          <w:szCs w:val="24"/>
        </w:rPr>
        <w:t>O); hydrofluorocarbons (HFCs); perfluorocarbons (</w:t>
      </w:r>
      <w:r w:rsidR="00C6154D" w:rsidRPr="00AC42A1">
        <w:rPr>
          <w:rFonts w:ascii="Palatino Linotype" w:hAnsi="Palatino Linotype" w:cstheme="minorHAnsi"/>
          <w:sz w:val="24"/>
          <w:szCs w:val="24"/>
        </w:rPr>
        <w:t xml:space="preserve">PFCs); </w:t>
      </w:r>
      <w:proofErr w:type="spellStart"/>
      <w:r w:rsidR="00C6154D" w:rsidRPr="00AC42A1">
        <w:rPr>
          <w:rFonts w:ascii="Palatino Linotype" w:hAnsi="Palatino Linotype" w:cstheme="minorHAnsi"/>
          <w:sz w:val="24"/>
          <w:szCs w:val="24"/>
        </w:rPr>
        <w:t>sulphur</w:t>
      </w:r>
      <w:proofErr w:type="spellEnd"/>
      <w:r w:rsidR="00C6154D" w:rsidRPr="00AC42A1">
        <w:rPr>
          <w:rFonts w:ascii="Palatino Linotype" w:hAnsi="Palatino Linotype" w:cstheme="minorHAnsi"/>
          <w:sz w:val="24"/>
          <w:szCs w:val="24"/>
        </w:rPr>
        <w:t xml:space="preserve"> hexafluoride (SF</w:t>
      </w:r>
      <w:r w:rsidRPr="00AC42A1">
        <w:rPr>
          <w:rFonts w:ascii="Palatino Linotype" w:hAnsi="Palatino Linotype" w:cstheme="minorHAnsi"/>
          <w:sz w:val="24"/>
          <w:szCs w:val="24"/>
          <w:vertAlign w:val="subscript"/>
        </w:rPr>
        <w:t>6</w:t>
      </w:r>
      <w:r w:rsidRPr="00AC42A1">
        <w:rPr>
          <w:rFonts w:ascii="Palatino Linotype" w:hAnsi="Palatino Linotype" w:cstheme="minorHAnsi"/>
          <w:sz w:val="24"/>
          <w:szCs w:val="24"/>
        </w:rPr>
        <w:t xml:space="preserve"> ); and nitrogen </w:t>
      </w:r>
      <w:proofErr w:type="spellStart"/>
      <w:r w:rsidRPr="00AC42A1">
        <w:rPr>
          <w:rFonts w:ascii="Palatino Linotype" w:hAnsi="Palatino Linotype" w:cstheme="minorHAnsi"/>
          <w:sz w:val="24"/>
          <w:szCs w:val="24"/>
        </w:rPr>
        <w:t>trifluoride</w:t>
      </w:r>
      <w:proofErr w:type="spellEnd"/>
      <w:r w:rsidRPr="00AC42A1">
        <w:rPr>
          <w:rFonts w:ascii="Palatino Linotype" w:hAnsi="Palatino Linotype" w:cstheme="minorHAnsi"/>
          <w:sz w:val="24"/>
          <w:szCs w:val="24"/>
        </w:rPr>
        <w:t xml:space="preserve"> (NF</w:t>
      </w:r>
      <w:r w:rsidRPr="00AC42A1">
        <w:rPr>
          <w:rFonts w:ascii="Palatino Linotype" w:hAnsi="Palatino Linotype" w:cstheme="minorHAnsi"/>
          <w:sz w:val="24"/>
          <w:szCs w:val="24"/>
          <w:vertAlign w:val="subscript"/>
        </w:rPr>
        <w:t xml:space="preserve">3 </w:t>
      </w:r>
      <w:r w:rsidRPr="00AC42A1">
        <w:rPr>
          <w:rFonts w:ascii="Palatino Linotype" w:hAnsi="Palatino Linotype" w:cstheme="minorHAnsi"/>
          <w:sz w:val="24"/>
          <w:szCs w:val="24"/>
        </w:rPr>
        <w:t xml:space="preserve">). The greenhouse gas emission quan­tification process converts all emissions into </w:t>
      </w:r>
      <w:proofErr w:type="spellStart"/>
      <w:r w:rsidRPr="00AC42A1">
        <w:rPr>
          <w:rFonts w:ascii="Palatino Linotype" w:hAnsi="Palatino Linotype" w:cstheme="minorHAnsi"/>
          <w:sz w:val="24"/>
          <w:szCs w:val="24"/>
        </w:rPr>
        <w:t>tonnes</w:t>
      </w:r>
      <w:proofErr w:type="spellEnd"/>
      <w:r w:rsidRPr="00AC42A1">
        <w:rPr>
          <w:rFonts w:ascii="Palatino Linotype" w:hAnsi="Palatino Linotype" w:cstheme="minorHAnsi"/>
          <w:sz w:val="24"/>
          <w:szCs w:val="24"/>
        </w:rPr>
        <w:t xml:space="preserve"> of carbon dioxide called CO</w:t>
      </w:r>
      <w:r w:rsidRPr="00AC42A1">
        <w:rPr>
          <w:rFonts w:ascii="Palatino Linotype" w:hAnsi="Palatino Linotype" w:cstheme="minorHAnsi"/>
          <w:sz w:val="24"/>
          <w:szCs w:val="24"/>
          <w:vertAlign w:val="subscript"/>
        </w:rPr>
        <w:t>2</w:t>
      </w:r>
      <w:r w:rsidRPr="00AC42A1">
        <w:rPr>
          <w:rFonts w:ascii="Palatino Linotype" w:hAnsi="Palatino Linotype" w:cstheme="minorHAnsi"/>
          <w:sz w:val="24"/>
          <w:szCs w:val="24"/>
        </w:rPr>
        <w:t xml:space="preserve"> (equivalent) using Gl</w:t>
      </w:r>
      <w:r w:rsidR="00C6154D" w:rsidRPr="00AC42A1">
        <w:rPr>
          <w:rFonts w:ascii="Palatino Linotype" w:hAnsi="Palatino Linotype" w:cstheme="minorHAnsi"/>
          <w:sz w:val="24"/>
          <w:szCs w:val="24"/>
        </w:rPr>
        <w:t xml:space="preserve">obal Warming Potentials (GWP) </w:t>
      </w:r>
      <w:r w:rsidRPr="00AC42A1">
        <w:rPr>
          <w:rFonts w:ascii="Palatino Linotype" w:hAnsi="Palatino Linotype" w:cstheme="minorHAnsi"/>
          <w:sz w:val="24"/>
          <w:szCs w:val="24"/>
        </w:rPr>
        <w:t>consistency with the climate targets for 2030 and 2050 and The</w:t>
      </w:r>
      <w:r w:rsidRPr="00AC42A1">
        <w:rPr>
          <w:rFonts w:ascii="Palatino Linotype" w:hAnsi="Palatino Linotype" w:cstheme="minorHAnsi"/>
          <w:b/>
          <w:bCs/>
          <w:sz w:val="24"/>
          <w:szCs w:val="24"/>
        </w:rPr>
        <w:t xml:space="preserve"> Paris Agreement</w:t>
      </w:r>
      <w:r w:rsidRPr="00AC42A1">
        <w:rPr>
          <w:rFonts w:ascii="Palatino Linotype" w:hAnsi="Palatino Linotype" w:cstheme="minorHAnsi"/>
          <w:sz w:val="24"/>
          <w:szCs w:val="24"/>
        </w:rPr>
        <w:t xml:space="preserve"> aims ‘Holding the increase in the global average temperature to well below 2 °C above pre-industrial levels and to pursue efforts to limit the temperature increase to 1,5 °C above pre-industrial </w:t>
      </w:r>
      <w:r w:rsidR="00F96210" w:rsidRPr="00AC42A1">
        <w:rPr>
          <w:rFonts w:ascii="Palatino Linotype" w:hAnsi="Palatino Linotype" w:cstheme="minorHAnsi"/>
          <w:sz w:val="24"/>
          <w:szCs w:val="24"/>
        </w:rPr>
        <w:t>levels.</w:t>
      </w:r>
    </w:p>
    <w:p w14:paraId="1C65E4DD" w14:textId="78665B90" w:rsidR="00F96210" w:rsidRPr="00AC42A1" w:rsidRDefault="00BA1849" w:rsidP="009036D4">
      <w:pPr>
        <w:jc w:val="both"/>
        <w:rPr>
          <w:rFonts w:ascii="Palatino Linotype" w:hAnsi="Palatino Linotype" w:cstheme="minorHAnsi"/>
          <w:sz w:val="24"/>
          <w:szCs w:val="24"/>
        </w:rPr>
      </w:pPr>
      <w:r w:rsidRPr="00AC42A1">
        <w:rPr>
          <w:rFonts w:ascii="Palatino Linotype" w:hAnsi="Palatino Linotype" w:cstheme="minorHAnsi"/>
          <w:sz w:val="24"/>
          <w:szCs w:val="24"/>
        </w:rPr>
        <w:t xml:space="preserve">According to national legislation all partners must follow approved procedures for certification and compliance of the construction products. </w:t>
      </w:r>
    </w:p>
    <w:p w14:paraId="0C09B2A7" w14:textId="5F2DDCA7" w:rsidR="00F96210" w:rsidRPr="00AC42A1" w:rsidRDefault="00BA1849" w:rsidP="009036D4">
      <w:pPr>
        <w:jc w:val="both"/>
        <w:rPr>
          <w:rFonts w:ascii="Palatino Linotype" w:hAnsi="Palatino Linotype" w:cstheme="minorHAnsi"/>
          <w:sz w:val="24"/>
          <w:szCs w:val="24"/>
        </w:rPr>
      </w:pPr>
      <w:r w:rsidRPr="00AC42A1">
        <w:rPr>
          <w:rFonts w:ascii="Palatino Linotype" w:hAnsi="Palatino Linotype" w:cstheme="minorHAnsi"/>
          <w:sz w:val="24"/>
          <w:szCs w:val="24"/>
        </w:rPr>
        <w:t>Bulgarian legislation</w:t>
      </w:r>
    </w:p>
    <w:p w14:paraId="2EF2F329"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Law on technical requirements for products</w:t>
      </w:r>
    </w:p>
    <w:p w14:paraId="396748BB"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 National Standardization Law</w:t>
      </w:r>
    </w:p>
    <w:p w14:paraId="4A5E09CC" w14:textId="6E0C19CC"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eastAsia="Times New Roman" w:hAnsi="Palatino Linotype" w:cs="Times New Roman"/>
          <w:sz w:val="24"/>
          <w:szCs w:val="24"/>
        </w:rPr>
      </w:pPr>
      <w:r w:rsidRPr="00AC42A1">
        <w:rPr>
          <w:rFonts w:ascii="Palatino Linotype" w:eastAsia="Times New Roman" w:hAnsi="Palatino Linotype" w:cs="Times New Roman"/>
          <w:sz w:val="24"/>
          <w:szCs w:val="24"/>
        </w:rPr>
        <w:t xml:space="preserve">• </w:t>
      </w:r>
      <w:r w:rsidR="005458D0" w:rsidRPr="00AC42A1">
        <w:rPr>
          <w:rFonts w:ascii="Palatino Linotype" w:eastAsia="Times New Roman" w:hAnsi="Palatino Linotype" w:cs="Times New Roman"/>
          <w:sz w:val="24"/>
          <w:szCs w:val="24"/>
        </w:rPr>
        <w:t>Ordinance</w:t>
      </w:r>
      <w:r w:rsidRPr="00AC42A1">
        <w:rPr>
          <w:rFonts w:ascii="Palatino Linotype" w:eastAsia="Times New Roman" w:hAnsi="Palatino Linotype" w:cs="Times New Roman"/>
          <w:sz w:val="24"/>
          <w:szCs w:val="24"/>
        </w:rPr>
        <w:t xml:space="preserve"> RD-02-20-1 of 02/05/2015 on the conditions and procedure for placing construction products in the constructions of the Republic of Bulgaria</w:t>
      </w:r>
      <w:r w:rsidR="005458D0" w:rsidRPr="00AC42A1">
        <w:rPr>
          <w:rFonts w:ascii="Palatino Linotype" w:eastAsia="Times New Roman" w:hAnsi="Palatino Linotype" w:cs="Times New Roman"/>
          <w:sz w:val="24"/>
          <w:szCs w:val="24"/>
        </w:rPr>
        <w:t xml:space="preserve"> (The Ordinance)</w:t>
      </w:r>
    </w:p>
    <w:p w14:paraId="1DB74D2A" w14:textId="77777777"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hAnsi="Palatino Linotype" w:cstheme="minorHAnsi"/>
          <w:sz w:val="24"/>
          <w:szCs w:val="24"/>
        </w:rPr>
      </w:pPr>
      <w:r w:rsidRPr="00AC42A1">
        <w:rPr>
          <w:rFonts w:ascii="Palatino Linotype" w:eastAsia="Times New Roman" w:hAnsi="Palatino Linotype" w:cs="Times New Roman"/>
          <w:sz w:val="24"/>
          <w:szCs w:val="24"/>
        </w:rPr>
        <w:t>• Order No. RD-02-14-1329 of 3.12.2015 of the Minister of Regional Development and Public Works to determine Bulgarian national requirements for the use of construction products in construction in connection with their intended use or uses, promulgated in State Gazette. no. 98 of December 15, 2015;</w:t>
      </w:r>
    </w:p>
    <w:p w14:paraId="7D76D472" w14:textId="1C17FC62" w:rsidR="00BA1849" w:rsidRPr="00AC42A1" w:rsidRDefault="00BA1849" w:rsidP="009036D4">
      <w:pPr>
        <w:numPr>
          <w:ilvl w:val="0"/>
          <w:numId w:val="2"/>
        </w:numPr>
        <w:shd w:val="clear" w:color="auto" w:fill="FFFFFF"/>
        <w:spacing w:before="100" w:beforeAutospacing="1" w:after="100" w:afterAutospacing="1" w:line="240"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Order No. RD-02-14-643/22.08.2016 of the Minister of Regional Development and Public Works to approve procedures for certification of the compliance of construction products with the national requirements for the use of construction </w:t>
      </w:r>
      <w:r w:rsidRPr="00AC42A1">
        <w:rPr>
          <w:rFonts w:ascii="Palatino Linotype" w:hAnsi="Palatino Linotype" w:cstheme="minorHAnsi"/>
          <w:sz w:val="24"/>
          <w:szCs w:val="24"/>
        </w:rPr>
        <w:lastRenderedPageBreak/>
        <w:t>products in constructions in connection with their intended use or uses defined by Order No. RD-02-14-1329 of 3.12.2015 of the Minister of Regional Development and Public Works (promulgated SG No. 98 of 2015);</w:t>
      </w:r>
    </w:p>
    <w:p w14:paraId="689F5ED7" w14:textId="098D487F" w:rsidR="00BA1849" w:rsidRPr="00AC42A1" w:rsidRDefault="002D77E5"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All construction products used for infrastructure building must comply with one or more of the following:</w:t>
      </w:r>
    </w:p>
    <w:p w14:paraId="11D73940" w14:textId="61468F09" w:rsidR="002D77E5" w:rsidRPr="00AC42A1" w:rsidRDefault="002D77E5" w:rsidP="009036D4">
      <w:pPr>
        <w:shd w:val="clear" w:color="auto" w:fill="FFFFFF"/>
        <w:spacing w:before="100" w:beforeAutospacing="1" w:after="100" w:afterAutospacing="1" w:line="240" w:lineRule="auto"/>
        <w:ind w:left="720"/>
        <w:jc w:val="both"/>
        <w:rPr>
          <w:rFonts w:ascii="Palatino Linotype" w:eastAsia="Times New Roman" w:hAnsi="Palatino Linotype" w:cs="Times New Roman"/>
          <w:sz w:val="24"/>
          <w:szCs w:val="24"/>
        </w:rPr>
      </w:pPr>
      <w:r w:rsidRPr="00AC42A1">
        <w:rPr>
          <w:rFonts w:ascii="Palatino Linotype" w:hAnsi="Palatino Linotype" w:cstheme="minorHAnsi"/>
          <w:sz w:val="24"/>
          <w:szCs w:val="24"/>
        </w:rPr>
        <w:t xml:space="preserve">The construction products with harmonized technical specifications: harmonized standards or issued European Technical Assessment (ETA), ensure the fulfillment of the main requirements to the constructions, when the operational indicators of their essential characteristics are determined and declared according to the requirements of Regulation (EU) No. 305/2011 </w:t>
      </w:r>
      <w:r w:rsidR="005458D0" w:rsidRPr="00AC42A1">
        <w:rPr>
          <w:rFonts w:ascii="Palatino Linotype" w:hAnsi="Palatino Linotype" w:cstheme="minorHAnsi"/>
          <w:sz w:val="24"/>
          <w:szCs w:val="24"/>
        </w:rPr>
        <w:t>or</w:t>
      </w:r>
      <w:r w:rsidRPr="00AC42A1">
        <w:rPr>
          <w:rFonts w:ascii="Palatino Linotype" w:hAnsi="Palatino Linotype" w:cstheme="minorHAnsi"/>
          <w:sz w:val="24"/>
          <w:szCs w:val="24"/>
        </w:rPr>
        <w:t xml:space="preserve"> comply with the Bulgarian national requirements regarding the intended use, defined in art. 8, para. 1, item 1 and item 5</w:t>
      </w:r>
      <w:r w:rsidR="005458D0" w:rsidRPr="00AC42A1">
        <w:rPr>
          <w:rFonts w:ascii="Palatino Linotype" w:hAnsi="Palatino Linotype" w:cstheme="minorHAnsi"/>
          <w:sz w:val="24"/>
          <w:szCs w:val="24"/>
        </w:rPr>
        <w:t xml:space="preserve"> of the </w:t>
      </w:r>
      <w:r w:rsidR="005458D0" w:rsidRPr="00AC42A1">
        <w:rPr>
          <w:rFonts w:ascii="Palatino Linotype" w:eastAsia="Times New Roman" w:hAnsi="Palatino Linotype" w:cs="Times New Roman"/>
          <w:sz w:val="24"/>
          <w:szCs w:val="24"/>
        </w:rPr>
        <w:t>Ordinance;</w:t>
      </w:r>
    </w:p>
    <w:p w14:paraId="7C081480" w14:textId="6AEA23B5" w:rsidR="005458D0" w:rsidRPr="00AC42A1" w:rsidRDefault="005458D0"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The construction products that fall under the scope of The Ordinance on additional measures related to the implementation of regulations adopted pursuant to Art. 15 of Directive 2009/125/EC of the European Parliament and of the Council of 21 October 2009 on creating a framework for defining </w:t>
      </w:r>
      <w:proofErr w:type="spellStart"/>
      <w:r w:rsidRPr="00AC42A1">
        <w:rPr>
          <w:rFonts w:ascii="Palatino Linotype" w:hAnsi="Palatino Linotype" w:cstheme="minorHAnsi"/>
          <w:sz w:val="24"/>
          <w:szCs w:val="24"/>
        </w:rPr>
        <w:t>ecodesign</w:t>
      </w:r>
      <w:proofErr w:type="spellEnd"/>
      <w:r w:rsidRPr="00AC42A1">
        <w:rPr>
          <w:rFonts w:ascii="Palatino Linotype" w:hAnsi="Palatino Linotype" w:cstheme="minorHAnsi"/>
          <w:sz w:val="24"/>
          <w:szCs w:val="24"/>
        </w:rPr>
        <w:t xml:space="preserve"> requirements for products related to energy consumption (SG, No. 14 of 2015), ensure the fulfillment of the basic requirements to constructions when they correspond to the specific </w:t>
      </w:r>
      <w:proofErr w:type="spellStart"/>
      <w:r w:rsidRPr="00AC42A1">
        <w:rPr>
          <w:rFonts w:ascii="Palatino Linotype" w:hAnsi="Palatino Linotype" w:cstheme="minorHAnsi"/>
          <w:sz w:val="24"/>
          <w:szCs w:val="24"/>
        </w:rPr>
        <w:t>ecodesign</w:t>
      </w:r>
      <w:proofErr w:type="spellEnd"/>
      <w:r w:rsidRPr="00AC42A1">
        <w:rPr>
          <w:rFonts w:ascii="Palatino Linotype" w:hAnsi="Palatino Linotype" w:cstheme="minorHAnsi"/>
          <w:sz w:val="24"/>
          <w:szCs w:val="24"/>
        </w:rPr>
        <w:t xml:space="preserve"> requirements for the product group and the requirements for the provision of product information defined in the relevant regulations specified in art. 1, para. 1. Of the Ordinance;</w:t>
      </w:r>
    </w:p>
    <w:p w14:paraId="08B37F85" w14:textId="3368D5FC" w:rsidR="005458D0" w:rsidRPr="00AC42A1" w:rsidRDefault="005458D0"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The construction products that fall under the scope of The Ordinance on Labeling Requirements and Provision of Standard Information for products related to energy consumption, in terms of energy consumption and others resources (SG, No. 41 of 2011), ensure the fulfillment of the basic requirements to constructions, when their characteristics related to the consumption of energy and other resources, are defined and declared on a label and in an information sheet according to the requirements of the relevant delegated regulations specified in art. 4, para. 1 of the Ordinance.</w:t>
      </w:r>
    </w:p>
    <w:p w14:paraId="57E5E881" w14:textId="4DC71C2C" w:rsidR="005458D0" w:rsidRPr="00AC42A1" w:rsidRDefault="005458D0"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Construction products intended for fire protection, fire alarm, fire extinguishing, fire and smoke control and to prevent explosions for which no harmonized technical specifications under Art. 3, para. 2 of the Ordinance has been issued but product conformity has been issued by persons under Art. 13, para. 1, item 1</w:t>
      </w:r>
      <w:r w:rsidR="006A4A78" w:rsidRPr="00AC42A1">
        <w:rPr>
          <w:rFonts w:ascii="Palatino Linotype" w:hAnsi="Palatino Linotype" w:cstheme="minorHAnsi"/>
          <w:sz w:val="24"/>
          <w:szCs w:val="24"/>
        </w:rPr>
        <w:t xml:space="preserve"> of </w:t>
      </w:r>
      <w:r w:rsidR="006A4A78" w:rsidRPr="00AC42A1">
        <w:rPr>
          <w:rFonts w:ascii="Palatino Linotype" w:hAnsi="Palatino Linotype" w:cstheme="minorHAnsi"/>
          <w:sz w:val="24"/>
          <w:szCs w:val="24"/>
        </w:rPr>
        <w:lastRenderedPageBreak/>
        <w:t>the Ordinance</w:t>
      </w:r>
      <w:r w:rsidRPr="00AC42A1">
        <w:rPr>
          <w:rFonts w:ascii="Palatino Linotype" w:hAnsi="Palatino Linotype" w:cstheme="minorHAnsi"/>
          <w:sz w:val="24"/>
          <w:szCs w:val="24"/>
        </w:rPr>
        <w:t xml:space="preserve">, </w:t>
      </w:r>
      <w:r w:rsidR="006A4A78" w:rsidRPr="00AC42A1">
        <w:rPr>
          <w:rFonts w:ascii="Palatino Linotype" w:hAnsi="Palatino Linotype" w:cstheme="minorHAnsi"/>
          <w:sz w:val="24"/>
          <w:szCs w:val="24"/>
        </w:rPr>
        <w:t xml:space="preserve">those </w:t>
      </w:r>
      <w:r w:rsidRPr="00AC42A1">
        <w:rPr>
          <w:rFonts w:ascii="Palatino Linotype" w:hAnsi="Palatino Linotype" w:cstheme="minorHAnsi"/>
          <w:sz w:val="24"/>
          <w:szCs w:val="24"/>
        </w:rPr>
        <w:t>constructions</w:t>
      </w:r>
      <w:r w:rsidR="006A4A78" w:rsidRPr="00AC42A1">
        <w:rPr>
          <w:rFonts w:ascii="Palatino Linotype" w:hAnsi="Palatino Linotype" w:cstheme="minorHAnsi"/>
          <w:sz w:val="24"/>
          <w:szCs w:val="24"/>
        </w:rPr>
        <w:t xml:space="preserve"> products will be considered eligible if they are accompanied by </w:t>
      </w:r>
      <w:r w:rsidRPr="00AC42A1">
        <w:rPr>
          <w:rFonts w:ascii="Palatino Linotype" w:hAnsi="Palatino Linotype" w:cstheme="minorHAnsi"/>
          <w:sz w:val="24"/>
          <w:szCs w:val="24"/>
        </w:rPr>
        <w:t>a declaration of the characteristics of the construction product, an opinion on eligibility issued by the General Directorate "Fire Safety and Protection of the Population" of the Ministry of Internal Affairs (MIA) and instruction and information for safety in Bulgarian.</w:t>
      </w:r>
    </w:p>
    <w:p w14:paraId="6A90AE9B" w14:textId="5CB3E1C6" w:rsidR="00B63E77" w:rsidRPr="00AC42A1" w:rsidRDefault="00B63E77"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If the project infrastructure includes Green Infrastructure elements (e.g., green roofs, urban trees, green belts) that will reduce CO</w:t>
      </w:r>
      <w:r w:rsidRPr="00AC42A1">
        <w:rPr>
          <w:rFonts w:ascii="Palatino Linotype" w:hAnsi="Palatino Linotype" w:cstheme="minorHAnsi"/>
          <w:sz w:val="24"/>
          <w:szCs w:val="24"/>
          <w:vertAlign w:val="subscript"/>
        </w:rPr>
        <w:t xml:space="preserve">2 </w:t>
      </w:r>
      <w:r w:rsidRPr="00AC42A1">
        <w:rPr>
          <w:rFonts w:ascii="Palatino Linotype" w:hAnsi="Palatino Linotype" w:cstheme="minorHAnsi"/>
          <w:sz w:val="24"/>
          <w:szCs w:val="24"/>
        </w:rPr>
        <w:t>footprint of the investment and benefit both - heating and cooling in urban environment. Also there is a link between energy and Green Infrastructure, i.e., carbon sequestration and biofuel production, come with low costs and high benefits, as the photosynthesis process powered by the sun is free. Both have the benefit of mitigating climate change by reducing CO</w:t>
      </w:r>
      <w:r w:rsidRPr="00AC42A1">
        <w:rPr>
          <w:rFonts w:ascii="Palatino Linotype" w:hAnsi="Palatino Linotype" w:cstheme="minorHAnsi"/>
          <w:sz w:val="24"/>
          <w:szCs w:val="24"/>
          <w:vertAlign w:val="subscript"/>
        </w:rPr>
        <w:t>2</w:t>
      </w:r>
      <w:r w:rsidRPr="00AC42A1">
        <w:rPr>
          <w:rFonts w:ascii="Palatino Linotype" w:hAnsi="Palatino Linotype" w:cstheme="minorHAnsi"/>
          <w:sz w:val="24"/>
          <w:szCs w:val="24"/>
        </w:rPr>
        <w:t xml:space="preserve"> concentrations (carbon sequestration) or reducing the use of fossil fuels (biofuels).</w:t>
      </w:r>
    </w:p>
    <w:p w14:paraId="7BE95E1D" w14:textId="0F77F45D" w:rsidR="00B63E77" w:rsidRPr="00AC42A1" w:rsidRDefault="00B63E77" w:rsidP="009036D4">
      <w:pPr>
        <w:shd w:val="clear" w:color="auto" w:fill="FFFFFF"/>
        <w:spacing w:before="100" w:beforeAutospacing="1" w:after="100" w:afterAutospacing="1" w:line="240" w:lineRule="auto"/>
        <w:ind w:left="720"/>
        <w:jc w:val="both"/>
        <w:rPr>
          <w:rFonts w:ascii="Palatino Linotype" w:hAnsi="Palatino Linotype" w:cstheme="minorHAnsi"/>
          <w:b/>
          <w:sz w:val="24"/>
          <w:szCs w:val="24"/>
        </w:rPr>
      </w:pPr>
      <w:r w:rsidRPr="00AC42A1">
        <w:rPr>
          <w:rFonts w:ascii="Palatino Linotype" w:hAnsi="Palatino Linotype" w:cstheme="minorHAnsi"/>
          <w:sz w:val="24"/>
          <w:szCs w:val="24"/>
        </w:rPr>
        <w:t xml:space="preserve">If your investment is following and complying with all national and European standards for construction product without any additional measure included in your project, then you must check </w:t>
      </w:r>
      <w:r w:rsidRPr="00AC42A1">
        <w:rPr>
          <w:rFonts w:ascii="Palatino Linotype" w:hAnsi="Palatino Linotype" w:cstheme="minorHAnsi"/>
          <w:b/>
          <w:sz w:val="24"/>
          <w:szCs w:val="24"/>
        </w:rPr>
        <w:t>“No effect on the CO</w:t>
      </w:r>
      <w:r w:rsidRPr="00AC42A1">
        <w:rPr>
          <w:rFonts w:ascii="Palatino Linotype" w:hAnsi="Palatino Linotype" w:cstheme="minorHAnsi"/>
          <w:b/>
          <w:sz w:val="24"/>
          <w:szCs w:val="24"/>
          <w:vertAlign w:val="subscript"/>
        </w:rPr>
        <w:t xml:space="preserve">2 </w:t>
      </w:r>
      <w:r w:rsidRPr="00AC42A1">
        <w:rPr>
          <w:rFonts w:ascii="Palatino Linotype" w:hAnsi="Palatino Linotype" w:cstheme="minorHAnsi"/>
          <w:b/>
          <w:sz w:val="24"/>
          <w:szCs w:val="24"/>
        </w:rPr>
        <w:t xml:space="preserve">emissions” in the declaration. </w:t>
      </w:r>
    </w:p>
    <w:p w14:paraId="3CCC80E5" w14:textId="01BFC66F" w:rsidR="00B63E77" w:rsidRDefault="00B63E77" w:rsidP="00CA6EEE">
      <w:pPr>
        <w:pStyle w:val="ListParagraph"/>
        <w:numPr>
          <w:ilvl w:val="0"/>
          <w:numId w:val="9"/>
        </w:numPr>
        <w:shd w:val="clear" w:color="auto" w:fill="FFFFFF"/>
        <w:spacing w:before="100" w:beforeAutospacing="1" w:after="100" w:afterAutospacing="1" w:line="240" w:lineRule="auto"/>
        <w:jc w:val="both"/>
        <w:rPr>
          <w:rFonts w:ascii="Palatino Linotype" w:hAnsi="Palatino Linotype"/>
          <w:b/>
          <w:sz w:val="26"/>
          <w:szCs w:val="26"/>
        </w:rPr>
      </w:pPr>
      <w:r w:rsidRPr="00AC42A1">
        <w:rPr>
          <w:rFonts w:ascii="Palatino Linotype" w:hAnsi="Palatino Linotype" w:cstheme="minorHAnsi"/>
          <w:b/>
          <w:sz w:val="26"/>
          <w:szCs w:val="26"/>
        </w:rPr>
        <w:t>Third step “</w:t>
      </w:r>
      <w:r w:rsidRPr="00AC42A1">
        <w:rPr>
          <w:rFonts w:ascii="Palatino Linotype" w:hAnsi="Palatino Linotype" w:cstheme="minorHAnsi"/>
          <w:b/>
          <w:sz w:val="26"/>
          <w:szCs w:val="26"/>
          <w:lang w:bidi="en-US"/>
        </w:rPr>
        <w:t>Climate variables and hazards</w:t>
      </w:r>
      <w:r w:rsidRPr="00AC42A1">
        <w:rPr>
          <w:rFonts w:ascii="Palatino Linotype" w:hAnsi="Palatino Linotype" w:cstheme="minorHAnsi"/>
          <w:b/>
          <w:sz w:val="26"/>
          <w:szCs w:val="26"/>
        </w:rPr>
        <w:t xml:space="preserve">” </w:t>
      </w:r>
      <w:r w:rsidRPr="00AC42A1">
        <w:rPr>
          <w:rFonts w:ascii="Palatino Linotype" w:hAnsi="Palatino Linotype"/>
          <w:b/>
          <w:sz w:val="26"/>
          <w:szCs w:val="26"/>
        </w:rPr>
        <w:t>of the infrastructure assessment process</w:t>
      </w:r>
    </w:p>
    <w:tbl>
      <w:tblPr>
        <w:tblStyle w:val="TableGrid"/>
        <w:tblW w:w="10305" w:type="dxa"/>
        <w:tblInd w:w="-289" w:type="dxa"/>
        <w:tblLook w:val="04A0" w:firstRow="1" w:lastRow="0" w:firstColumn="1" w:lastColumn="0" w:noHBand="0" w:noVBand="1"/>
      </w:tblPr>
      <w:tblGrid>
        <w:gridCol w:w="1253"/>
        <w:gridCol w:w="669"/>
        <w:gridCol w:w="979"/>
        <w:gridCol w:w="615"/>
        <w:gridCol w:w="669"/>
        <w:gridCol w:w="979"/>
        <w:gridCol w:w="615"/>
        <w:gridCol w:w="669"/>
        <w:gridCol w:w="979"/>
        <w:gridCol w:w="615"/>
        <w:gridCol w:w="669"/>
        <w:gridCol w:w="979"/>
        <w:gridCol w:w="615"/>
      </w:tblGrid>
      <w:tr w:rsidR="00C40AA3" w:rsidRPr="00C40AA3" w14:paraId="57ECF4A6" w14:textId="77777777" w:rsidTr="00C40AA3">
        <w:trPr>
          <w:trHeight w:val="209"/>
        </w:trPr>
        <w:tc>
          <w:tcPr>
            <w:tcW w:w="1253" w:type="dxa"/>
          </w:tcPr>
          <w:p w14:paraId="7CDE42FA" w14:textId="77777777" w:rsidR="00C40AA3" w:rsidRPr="00C40AA3" w:rsidRDefault="00C40AA3" w:rsidP="00B452FE">
            <w:pPr>
              <w:jc w:val="center"/>
              <w:rPr>
                <w:rFonts w:ascii="Palatino Linotype" w:hAnsi="Palatino Linotype" w:cstheme="minorHAnsi"/>
                <w:sz w:val="20"/>
                <w:szCs w:val="20"/>
              </w:rPr>
            </w:pPr>
            <w:r w:rsidRPr="00C40AA3">
              <w:rPr>
                <w:rFonts w:ascii="Palatino Linotype" w:hAnsi="Palatino Linotype" w:cstheme="minorHAnsi"/>
                <w:sz w:val="20"/>
                <w:szCs w:val="20"/>
                <w:lang w:bidi="en-US"/>
              </w:rPr>
              <w:t>Climate variables and hazards</w:t>
            </w:r>
          </w:p>
        </w:tc>
        <w:tc>
          <w:tcPr>
            <w:tcW w:w="9052" w:type="dxa"/>
            <w:gridSpan w:val="12"/>
          </w:tcPr>
          <w:p w14:paraId="75BC67F4" w14:textId="77777777" w:rsidR="00C40AA3" w:rsidRPr="00C40AA3" w:rsidRDefault="00C40AA3" w:rsidP="00B452FE">
            <w:pPr>
              <w:rPr>
                <w:rFonts w:ascii="Palatino Linotype" w:hAnsi="Palatino Linotype" w:cstheme="minorHAnsi"/>
                <w:sz w:val="20"/>
                <w:szCs w:val="20"/>
              </w:rPr>
            </w:pPr>
          </w:p>
        </w:tc>
      </w:tr>
      <w:tr w:rsidR="00C40AA3" w:rsidRPr="00C40AA3" w14:paraId="666D547E" w14:textId="77777777" w:rsidTr="00C40AA3">
        <w:trPr>
          <w:trHeight w:val="671"/>
        </w:trPr>
        <w:tc>
          <w:tcPr>
            <w:tcW w:w="1253" w:type="dxa"/>
          </w:tcPr>
          <w:p w14:paraId="38726BA2" w14:textId="77777777" w:rsidR="00C40AA3" w:rsidRPr="00C40AA3" w:rsidRDefault="00C40AA3" w:rsidP="00B452FE">
            <w:pPr>
              <w:rPr>
                <w:rFonts w:ascii="Palatino Linotype" w:hAnsi="Palatino Linotype" w:cstheme="minorHAnsi"/>
                <w:sz w:val="20"/>
                <w:szCs w:val="20"/>
              </w:rPr>
            </w:pPr>
          </w:p>
        </w:tc>
        <w:tc>
          <w:tcPr>
            <w:tcW w:w="2263" w:type="dxa"/>
            <w:gridSpan w:val="3"/>
          </w:tcPr>
          <w:p w14:paraId="1897EBD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On site – assets, construction, building  - risk level</w:t>
            </w:r>
          </w:p>
        </w:tc>
        <w:tc>
          <w:tcPr>
            <w:tcW w:w="2263" w:type="dxa"/>
            <w:gridSpan w:val="3"/>
          </w:tcPr>
          <w:p w14:paraId="173F3D3F"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Water – risk level, </w:t>
            </w:r>
            <w:r w:rsidRPr="00C40AA3">
              <w:rPr>
                <w:rFonts w:ascii="Palatino Linotype" w:hAnsi="Palatino Linotype"/>
                <w:sz w:val="20"/>
                <w:szCs w:val="20"/>
              </w:rPr>
              <w:t>supply pipelines, reservoirs, waste water treatment</w:t>
            </w:r>
          </w:p>
        </w:tc>
        <w:tc>
          <w:tcPr>
            <w:tcW w:w="2263" w:type="dxa"/>
            <w:gridSpan w:val="3"/>
          </w:tcPr>
          <w:p w14:paraId="701D5ED1"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Product or services</w:t>
            </w:r>
          </w:p>
        </w:tc>
        <w:tc>
          <w:tcPr>
            <w:tcW w:w="2263" w:type="dxa"/>
            <w:gridSpan w:val="3"/>
          </w:tcPr>
          <w:p w14:paraId="31CB7C53"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Transport links or transport services</w:t>
            </w:r>
          </w:p>
        </w:tc>
      </w:tr>
      <w:tr w:rsidR="00C40AA3" w:rsidRPr="00C40AA3" w14:paraId="541AC924" w14:textId="77777777" w:rsidTr="00C40AA3">
        <w:tc>
          <w:tcPr>
            <w:tcW w:w="1253" w:type="dxa"/>
          </w:tcPr>
          <w:p w14:paraId="0B4F4589"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Flood </w:t>
            </w:r>
          </w:p>
        </w:tc>
        <w:tc>
          <w:tcPr>
            <w:tcW w:w="669" w:type="dxa"/>
            <w:shd w:val="clear" w:color="auto" w:fill="FF0000"/>
          </w:tcPr>
          <w:p w14:paraId="7B2B517D"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D966" w:themeFill="accent4" w:themeFillTint="99"/>
          </w:tcPr>
          <w:p w14:paraId="47E21581"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475FE1AF"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4461DF0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79B5CAF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4E381AC7"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5968353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0DCE2832"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38E8B5E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5296E0B7"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0137B41C"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510551AA"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C40AA3" w:rsidRPr="00C40AA3" w14:paraId="16C53C0C" w14:textId="77777777" w:rsidTr="00C40AA3">
        <w:tc>
          <w:tcPr>
            <w:tcW w:w="1253" w:type="dxa"/>
          </w:tcPr>
          <w:p w14:paraId="22A33BFA"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Heat/Forest fire</w:t>
            </w:r>
          </w:p>
        </w:tc>
        <w:tc>
          <w:tcPr>
            <w:tcW w:w="669" w:type="dxa"/>
            <w:shd w:val="clear" w:color="auto" w:fill="FF0000"/>
          </w:tcPr>
          <w:p w14:paraId="6B40ADC0"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79" w:type="dxa"/>
            <w:shd w:val="clear" w:color="auto" w:fill="FFD966" w:themeFill="accent4" w:themeFillTint="99"/>
          </w:tcPr>
          <w:p w14:paraId="2B5686FA"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3184F1C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543C014F"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1D0B1F60"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4EBF5A06"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1DED823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3BA8DF8E"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58951C2F"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6B67097E"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6AE41F7B"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4C98A380"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C40AA3" w:rsidRPr="00C40AA3" w14:paraId="3D69C93A" w14:textId="77777777" w:rsidTr="00C40AA3">
        <w:tc>
          <w:tcPr>
            <w:tcW w:w="1253" w:type="dxa"/>
          </w:tcPr>
          <w:p w14:paraId="279D43F8"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Drought</w:t>
            </w:r>
          </w:p>
        </w:tc>
        <w:tc>
          <w:tcPr>
            <w:tcW w:w="669" w:type="dxa"/>
            <w:shd w:val="clear" w:color="auto" w:fill="FF0000"/>
          </w:tcPr>
          <w:p w14:paraId="57454FFE"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79" w:type="dxa"/>
            <w:shd w:val="clear" w:color="auto" w:fill="FFD966" w:themeFill="accent4" w:themeFillTint="99"/>
          </w:tcPr>
          <w:p w14:paraId="191AA761" w14:textId="5346B2D2" w:rsidR="00C40AA3" w:rsidRPr="00C40AA3" w:rsidRDefault="00C40AA3" w:rsidP="00B452FE">
            <w:pPr>
              <w:rPr>
                <w:rFonts w:ascii="Palatino Linotype" w:hAnsi="Palatino Linotype" w:cstheme="minorHAnsi"/>
                <w:sz w:val="20"/>
                <w:szCs w:val="20"/>
              </w:rPr>
            </w:pPr>
            <w:r>
              <w:rPr>
                <w:rFonts w:ascii="Palatino Linotype" w:hAnsi="Palatino Linotype" w:cstheme="minorHAnsi"/>
                <w:sz w:val="20"/>
                <w:szCs w:val="20"/>
              </w:rPr>
              <w:t xml:space="preserve">Medium </w:t>
            </w:r>
          </w:p>
        </w:tc>
        <w:tc>
          <w:tcPr>
            <w:tcW w:w="615" w:type="dxa"/>
            <w:shd w:val="clear" w:color="auto" w:fill="92D050"/>
          </w:tcPr>
          <w:p w14:paraId="2E94017E"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7F09FCA9"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3D2EE0F2"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4A788000"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0BD362E9"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47862F21"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01CADE7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5EC4DD55"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979" w:type="dxa"/>
            <w:shd w:val="clear" w:color="auto" w:fill="FFC000"/>
          </w:tcPr>
          <w:p w14:paraId="416BF3E0"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5" w:type="dxa"/>
            <w:shd w:val="clear" w:color="auto" w:fill="92D050"/>
          </w:tcPr>
          <w:p w14:paraId="6577BBBA" w14:textId="77777777" w:rsidR="00C40AA3" w:rsidRPr="00C40AA3" w:rsidRDefault="00C40AA3" w:rsidP="00B452FE">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bl>
    <w:p w14:paraId="7A7AD723" w14:textId="6F5C0CAF" w:rsidR="00C40AA3" w:rsidRPr="00C40AA3" w:rsidRDefault="00C40AA3" w:rsidP="00C40AA3">
      <w:pPr>
        <w:shd w:val="clear" w:color="auto" w:fill="FFFFFF"/>
        <w:spacing w:before="100" w:beforeAutospacing="1" w:after="100" w:afterAutospacing="1" w:line="240" w:lineRule="auto"/>
        <w:jc w:val="both"/>
        <w:rPr>
          <w:rFonts w:ascii="Palatino Linotype" w:hAnsi="Palatino Linotype"/>
          <w:b/>
          <w:sz w:val="26"/>
          <w:szCs w:val="26"/>
        </w:rPr>
      </w:pPr>
      <w:r>
        <w:rPr>
          <w:rFonts w:ascii="Palatino Linotype" w:eastAsia="Times New Roman" w:hAnsi="Palatino Linotype" w:cs="Times New Roman"/>
          <w:sz w:val="24"/>
          <w:szCs w:val="24"/>
        </w:rPr>
        <w:t>Chose one of the options from the dropdown menu</w:t>
      </w:r>
      <w:r>
        <w:rPr>
          <w:rFonts w:ascii="Palatino Linotype" w:eastAsia="Times New Roman" w:hAnsi="Palatino Linotype" w:cs="Times New Roman"/>
          <w:sz w:val="24"/>
          <w:szCs w:val="24"/>
        </w:rPr>
        <w:t>!!!</w:t>
      </w:r>
    </w:p>
    <w:p w14:paraId="5834CAAA" w14:textId="77777777" w:rsidR="0034748A" w:rsidRPr="00AC42A1" w:rsidRDefault="0034748A" w:rsidP="0034748A">
      <w:pPr>
        <w:jc w:val="both"/>
        <w:rPr>
          <w:rFonts w:ascii="Palatino Linotype" w:hAnsi="Palatino Linotype"/>
          <w:sz w:val="24"/>
          <w:szCs w:val="24"/>
        </w:rPr>
      </w:pPr>
      <w:r w:rsidRPr="00AC42A1">
        <w:rPr>
          <w:rFonts w:ascii="Palatino Linotype" w:hAnsi="Palatino Linotype"/>
          <w:sz w:val="24"/>
          <w:szCs w:val="24"/>
        </w:rPr>
        <w:t xml:space="preserve">Climate change adaptation measures for infrastructure projects </w:t>
      </w:r>
      <w:proofErr w:type="spellStart"/>
      <w:r w:rsidRPr="00AC42A1">
        <w:rPr>
          <w:rFonts w:ascii="Palatino Linotype" w:hAnsi="Palatino Linotype"/>
          <w:sz w:val="24"/>
          <w:szCs w:val="24"/>
        </w:rPr>
        <w:t>centre</w:t>
      </w:r>
      <w:proofErr w:type="spellEnd"/>
      <w:r w:rsidRPr="00AC42A1">
        <w:rPr>
          <w:rFonts w:ascii="Palatino Linotype" w:hAnsi="Palatino Linotype"/>
          <w:sz w:val="24"/>
          <w:szCs w:val="24"/>
        </w:rPr>
        <w:t xml:space="preserve"> around ensuring a suitable level of resilience to the impacts of climate change, which includes acute events </w:t>
      </w:r>
      <w:r w:rsidRPr="00AC42A1">
        <w:rPr>
          <w:rFonts w:ascii="Palatino Linotype" w:hAnsi="Palatino Linotype"/>
          <w:sz w:val="24"/>
          <w:szCs w:val="24"/>
        </w:rPr>
        <w:lastRenderedPageBreak/>
        <w:t>such as more intense floods, cloudbursts, droughts, heatwaves, wildfires, storms and landslides and hurricanes, as well as chronic events such as projected sea-level rise and changes in average precipitation, soil moisture and air humidity.</w:t>
      </w:r>
    </w:p>
    <w:p w14:paraId="25BE9E2A" w14:textId="7C4FB61E" w:rsidR="00A96DF1" w:rsidRPr="00AC42A1" w:rsidRDefault="00A96DF1" w:rsidP="0034748A">
      <w:pPr>
        <w:jc w:val="both"/>
        <w:rPr>
          <w:rFonts w:ascii="Palatino Linotype" w:hAnsi="Palatino Linotype"/>
          <w:sz w:val="24"/>
          <w:szCs w:val="24"/>
        </w:rPr>
      </w:pPr>
      <w:r w:rsidRPr="00AC42A1">
        <w:rPr>
          <w:rFonts w:ascii="Palatino Linotype" w:hAnsi="Palatino Linotype"/>
          <w:sz w:val="24"/>
          <w:szCs w:val="24"/>
        </w:rPr>
        <w:t>This stage is more related to the project context, i.e. the proposed project and its objectives, including all ancillary activities needed to support the project’s development and operation. An impact of climate change on any of the project activities or components may undermine the success of the project. It is essential to understand the overall importance and functionality of the project itself and its part in the overall context/system and to assess how essential this infrastructure is.</w:t>
      </w:r>
    </w:p>
    <w:p w14:paraId="01E8FE6C" w14:textId="77777777" w:rsidR="0080273D" w:rsidRPr="00AC42A1" w:rsidRDefault="0080273D" w:rsidP="009036D4">
      <w:pPr>
        <w:jc w:val="both"/>
        <w:rPr>
          <w:rFonts w:ascii="Palatino Linotype" w:hAnsi="Palatino Linotype"/>
          <w:sz w:val="24"/>
          <w:szCs w:val="24"/>
        </w:rPr>
      </w:pPr>
      <w:r w:rsidRPr="00AC42A1">
        <w:rPr>
          <w:rFonts w:ascii="Palatino Linotype" w:hAnsi="Palatino Linotype"/>
          <w:sz w:val="24"/>
          <w:szCs w:val="24"/>
        </w:rPr>
        <w:t xml:space="preserve">The preparation of the </w:t>
      </w:r>
      <w:r w:rsidRPr="00AC42A1">
        <w:rPr>
          <w:rFonts w:ascii="Palatino Linotype" w:hAnsi="Palatino Linotype" w:cstheme="minorHAnsi"/>
          <w:sz w:val="24"/>
          <w:szCs w:val="24"/>
          <w:lang w:bidi="en-US"/>
        </w:rPr>
        <w:t>“Climate variables and hazards” analysis</w:t>
      </w:r>
      <w:r w:rsidRPr="00AC42A1">
        <w:rPr>
          <w:rFonts w:ascii="Palatino Linotype" w:hAnsi="Palatino Linotype"/>
          <w:sz w:val="24"/>
          <w:szCs w:val="24"/>
        </w:rPr>
        <w:t xml:space="preserve"> includes selecting a credible pathway to achieve the EU’s 2030 and 2050 climate goals of the Paris Agreement and the European Climate Law. Note that the timescale for the climate </w:t>
      </w:r>
      <w:r w:rsidRPr="00AC42A1">
        <w:rPr>
          <w:rFonts w:ascii="Palatino Linotype" w:hAnsi="Palatino Linotype" w:cstheme="minorHAnsi"/>
          <w:sz w:val="24"/>
          <w:szCs w:val="24"/>
          <w:lang w:bidi="en-US"/>
        </w:rPr>
        <w:t>variables and hazards</w:t>
      </w:r>
      <w:r w:rsidRPr="00AC42A1">
        <w:rPr>
          <w:rFonts w:ascii="Palatino Linotype" w:hAnsi="Palatino Linotype"/>
          <w:sz w:val="24"/>
          <w:szCs w:val="24"/>
        </w:rPr>
        <w:t xml:space="preserve"> assessment should correspond to the intended lifespan of the investment being financed under the project. </w:t>
      </w:r>
    </w:p>
    <w:p w14:paraId="266DE887" w14:textId="12F9B849" w:rsidR="00B63E77" w:rsidRPr="00AC42A1" w:rsidRDefault="0080273D" w:rsidP="009B57DF">
      <w:pPr>
        <w:pStyle w:val="ListParagraph"/>
        <w:numPr>
          <w:ilvl w:val="0"/>
          <w:numId w:val="5"/>
        </w:numPr>
        <w:shd w:val="clear" w:color="auto" w:fill="FFFFFF"/>
        <w:spacing w:before="100" w:beforeAutospacing="1" w:after="100" w:afterAutospacing="1" w:line="240" w:lineRule="auto"/>
        <w:jc w:val="both"/>
        <w:rPr>
          <w:rFonts w:ascii="Palatino Linotype" w:hAnsi="Palatino Linotype" w:cstheme="minorHAnsi"/>
          <w:b/>
          <w:sz w:val="24"/>
          <w:szCs w:val="24"/>
        </w:rPr>
      </w:pPr>
      <w:r w:rsidRPr="00AC42A1">
        <w:rPr>
          <w:rFonts w:ascii="Palatino Linotype" w:hAnsi="Palatino Linotype" w:cstheme="minorHAnsi"/>
          <w:b/>
          <w:sz w:val="24"/>
          <w:szCs w:val="24"/>
        </w:rPr>
        <w:t xml:space="preserve">On site – assets, construction, </w:t>
      </w:r>
      <w:proofErr w:type="gramStart"/>
      <w:r w:rsidRPr="00AC42A1">
        <w:rPr>
          <w:rFonts w:ascii="Palatino Linotype" w:hAnsi="Palatino Linotype" w:cstheme="minorHAnsi"/>
          <w:b/>
          <w:sz w:val="24"/>
          <w:szCs w:val="24"/>
        </w:rPr>
        <w:t>building  -</w:t>
      </w:r>
      <w:proofErr w:type="gramEnd"/>
      <w:r w:rsidRPr="00AC42A1">
        <w:rPr>
          <w:rFonts w:ascii="Palatino Linotype" w:hAnsi="Palatino Linotype" w:cstheme="minorHAnsi"/>
          <w:b/>
          <w:sz w:val="24"/>
          <w:szCs w:val="24"/>
        </w:rPr>
        <w:t xml:space="preserve"> risk level</w:t>
      </w:r>
    </w:p>
    <w:p w14:paraId="111F8C1C" w14:textId="2678BDFC"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This part must be analyzed in the context of 3-4 relevant element depending on the type of the infrastructure and regional specifics.</w:t>
      </w:r>
    </w:p>
    <w:p w14:paraId="3EFCF4D6" w14:textId="25F45DF6"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Check if your investment is in the area of high level of flood danger. </w:t>
      </w:r>
      <w:r w:rsidR="006921FA" w:rsidRPr="00AC42A1">
        <w:rPr>
          <w:rFonts w:ascii="Palatino Linotype" w:hAnsi="Palatino Linotype" w:cstheme="minorHAnsi"/>
          <w:sz w:val="24"/>
          <w:szCs w:val="24"/>
        </w:rPr>
        <w:t>Bulgarian partner/</w:t>
      </w:r>
      <w:proofErr w:type="gramStart"/>
      <w:r w:rsidR="006921FA" w:rsidRPr="00AC42A1">
        <w:rPr>
          <w:rFonts w:ascii="Palatino Linotype" w:hAnsi="Palatino Linotype" w:cstheme="minorHAnsi"/>
          <w:sz w:val="24"/>
          <w:szCs w:val="24"/>
        </w:rPr>
        <w:t xml:space="preserve">s </w:t>
      </w:r>
      <w:r w:rsidRPr="00AC42A1">
        <w:rPr>
          <w:rFonts w:ascii="Palatino Linotype" w:hAnsi="Palatino Linotype" w:cstheme="minorHAnsi"/>
          <w:sz w:val="24"/>
          <w:szCs w:val="24"/>
        </w:rPr>
        <w:t xml:space="preserve"> can</w:t>
      </w:r>
      <w:proofErr w:type="gramEnd"/>
      <w:r w:rsidRPr="00AC42A1">
        <w:rPr>
          <w:rFonts w:ascii="Palatino Linotype" w:hAnsi="Palatino Linotype" w:cstheme="minorHAnsi"/>
          <w:sz w:val="24"/>
          <w:szCs w:val="24"/>
        </w:rPr>
        <w:t xml:space="preserve"> obtain information from one of the four directorates for river basin management under the Ministry of Environment and Waters:</w:t>
      </w:r>
    </w:p>
    <w:p w14:paraId="63027C3C"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Danube Region with Pleven center – covering the water catchment areas of the Iskar, Erma, </w:t>
      </w:r>
      <w:proofErr w:type="spellStart"/>
      <w:r w:rsidRPr="00AC42A1">
        <w:rPr>
          <w:rFonts w:ascii="Palatino Linotype" w:hAnsi="Palatino Linotype" w:cstheme="minorHAnsi"/>
          <w:sz w:val="24"/>
          <w:szCs w:val="24"/>
        </w:rPr>
        <w:t>Nishava</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Ogosta</w:t>
      </w:r>
      <w:proofErr w:type="spellEnd"/>
      <w:r w:rsidRPr="00AC42A1">
        <w:rPr>
          <w:rFonts w:ascii="Palatino Linotype" w:hAnsi="Palatino Linotype" w:cstheme="minorHAnsi"/>
          <w:sz w:val="24"/>
          <w:szCs w:val="24"/>
        </w:rPr>
        <w:t xml:space="preserve"> and West of </w:t>
      </w:r>
      <w:proofErr w:type="spellStart"/>
      <w:r w:rsidRPr="00AC42A1">
        <w:rPr>
          <w:rFonts w:ascii="Palatino Linotype" w:hAnsi="Palatino Linotype" w:cstheme="minorHAnsi"/>
          <w:sz w:val="24"/>
          <w:szCs w:val="24"/>
        </w:rPr>
        <w:t>Ogosta</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Vit</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Osam</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Yantra</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Rusenski</w:t>
      </w:r>
      <w:proofErr w:type="spellEnd"/>
      <w:r w:rsidRPr="00AC42A1">
        <w:rPr>
          <w:rFonts w:ascii="Palatino Linotype" w:hAnsi="Palatino Linotype" w:cstheme="minorHAnsi"/>
          <w:sz w:val="24"/>
          <w:szCs w:val="24"/>
        </w:rPr>
        <w:t xml:space="preserve"> Lom and </w:t>
      </w:r>
      <w:proofErr w:type="spellStart"/>
      <w:r w:rsidRPr="00AC42A1">
        <w:rPr>
          <w:rFonts w:ascii="Palatino Linotype" w:hAnsi="Palatino Linotype" w:cstheme="minorHAnsi"/>
          <w:sz w:val="24"/>
          <w:szCs w:val="24"/>
        </w:rPr>
        <w:t>Danubian</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Dobrudjan</w:t>
      </w:r>
      <w:proofErr w:type="spellEnd"/>
      <w:r w:rsidRPr="00AC42A1">
        <w:rPr>
          <w:rFonts w:ascii="Palatino Linotype" w:hAnsi="Palatino Linotype" w:cstheme="minorHAnsi"/>
          <w:sz w:val="24"/>
          <w:szCs w:val="24"/>
        </w:rPr>
        <w:t xml:space="preserve"> rivers;</w:t>
      </w:r>
    </w:p>
    <w:p w14:paraId="48EA99F4"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Black Sea Region with the center of Varna – covering the area east of the underground waterbed of the </w:t>
      </w:r>
      <w:proofErr w:type="spellStart"/>
      <w:r w:rsidRPr="00AC42A1">
        <w:rPr>
          <w:rFonts w:ascii="Palatino Linotype" w:hAnsi="Palatino Linotype" w:cstheme="minorHAnsi"/>
          <w:sz w:val="24"/>
          <w:szCs w:val="24"/>
        </w:rPr>
        <w:t>Malmvangan</w:t>
      </w:r>
      <w:proofErr w:type="spellEnd"/>
      <w:r w:rsidRPr="00AC42A1">
        <w:rPr>
          <w:rFonts w:ascii="Palatino Linotype" w:hAnsi="Palatino Linotype" w:cstheme="minorHAnsi"/>
          <w:sz w:val="24"/>
          <w:szCs w:val="24"/>
        </w:rPr>
        <w:t xml:space="preserve"> aquifer and the catchment areas of the rivers flowing into the Black Sea from the north to the southern border, including the internal sea waters and the territorial sea. The Black Sea Basin Directorate includes the territory of 46 municipalities from 8 administrative districts with a population of 1 149 million inhabitants;</w:t>
      </w:r>
    </w:p>
    <w:p w14:paraId="6ABF7152" w14:textId="77777777" w:rsidR="0080273D" w:rsidRPr="00AC42A1" w:rsidRDefault="0080273D"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lastRenderedPageBreak/>
        <w:t xml:space="preserve">East Aegean Region (IBB) with a center in Plovdiv – for the catchment areas of the rivers </w:t>
      </w:r>
      <w:proofErr w:type="spellStart"/>
      <w:r w:rsidRPr="00AC42A1">
        <w:rPr>
          <w:rFonts w:ascii="Palatino Linotype" w:hAnsi="Palatino Linotype" w:cstheme="minorHAnsi"/>
          <w:sz w:val="24"/>
          <w:szCs w:val="24"/>
        </w:rPr>
        <w:t>Tundzha</w:t>
      </w:r>
      <w:proofErr w:type="spellEnd"/>
      <w:r w:rsidRPr="00AC42A1">
        <w:rPr>
          <w:rFonts w:ascii="Palatino Linotype" w:hAnsi="Palatino Linotype" w:cstheme="minorHAnsi"/>
          <w:sz w:val="24"/>
          <w:szCs w:val="24"/>
        </w:rPr>
        <w:t xml:space="preserve">, Maritsa, </w:t>
      </w:r>
      <w:proofErr w:type="spellStart"/>
      <w:r w:rsidRPr="00AC42A1">
        <w:rPr>
          <w:rFonts w:ascii="Palatino Linotype" w:hAnsi="Palatino Linotype" w:cstheme="minorHAnsi"/>
          <w:sz w:val="24"/>
          <w:szCs w:val="24"/>
        </w:rPr>
        <w:t>Arda</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Byala</w:t>
      </w:r>
      <w:proofErr w:type="spellEnd"/>
      <w:r w:rsidRPr="00AC42A1">
        <w:rPr>
          <w:rFonts w:ascii="Palatino Linotype" w:hAnsi="Palatino Linotype" w:cstheme="minorHAnsi"/>
          <w:sz w:val="24"/>
          <w:szCs w:val="24"/>
        </w:rPr>
        <w:t xml:space="preserve"> </w:t>
      </w:r>
      <w:proofErr w:type="spellStart"/>
      <w:r w:rsidRPr="00AC42A1">
        <w:rPr>
          <w:rFonts w:ascii="Palatino Linotype" w:hAnsi="Palatino Linotype" w:cstheme="minorHAnsi"/>
          <w:sz w:val="24"/>
          <w:szCs w:val="24"/>
        </w:rPr>
        <w:t>Reka</w:t>
      </w:r>
      <w:proofErr w:type="spellEnd"/>
      <w:r w:rsidRPr="00AC42A1">
        <w:rPr>
          <w:rFonts w:ascii="Palatino Linotype" w:hAnsi="Palatino Linotype" w:cstheme="minorHAnsi"/>
          <w:sz w:val="24"/>
          <w:szCs w:val="24"/>
        </w:rPr>
        <w:t>;</w:t>
      </w:r>
    </w:p>
    <w:p w14:paraId="3CBDFAA3" w14:textId="77777777" w:rsidR="0034748A" w:rsidRPr="00AC42A1" w:rsidRDefault="0080273D" w:rsidP="0034748A">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West Aegean region (BDB) with Blagoevgrad center – for the catchment areas of the Mesta, Struma and </w:t>
      </w:r>
      <w:proofErr w:type="spellStart"/>
      <w:r w:rsidRPr="00AC42A1">
        <w:rPr>
          <w:rFonts w:ascii="Palatino Linotype" w:hAnsi="Palatino Linotype" w:cstheme="minorHAnsi"/>
          <w:sz w:val="24"/>
          <w:szCs w:val="24"/>
        </w:rPr>
        <w:t>Dospat</w:t>
      </w:r>
      <w:proofErr w:type="spellEnd"/>
      <w:r w:rsidRPr="00AC42A1">
        <w:rPr>
          <w:rFonts w:ascii="Palatino Linotype" w:hAnsi="Palatino Linotype" w:cstheme="minorHAnsi"/>
          <w:sz w:val="24"/>
          <w:szCs w:val="24"/>
        </w:rPr>
        <w:t xml:space="preserve"> rivers. </w:t>
      </w:r>
      <w:hyperlink r:id="rId11" w:history="1">
        <w:r w:rsidRPr="00AC42A1">
          <w:rPr>
            <w:rStyle w:val="Hyperlink"/>
            <w:rFonts w:ascii="Palatino Linotype" w:hAnsi="Palatino Linotype" w:cstheme="minorHAnsi"/>
            <w:color w:val="auto"/>
            <w:sz w:val="24"/>
            <w:szCs w:val="24"/>
          </w:rPr>
          <w:t>https://wabd.bg/content/en/</w:t>
        </w:r>
      </w:hyperlink>
    </w:p>
    <w:p w14:paraId="595A3416" w14:textId="614C0739" w:rsidR="0034748A" w:rsidRPr="00AC42A1" w:rsidRDefault="0034748A" w:rsidP="0034748A">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 xml:space="preserve"> Maps of the flood zones and danger level are published on the web sites of the respected directorates for river basin management. </w:t>
      </w:r>
    </w:p>
    <w:p w14:paraId="478FFC50" w14:textId="7D743360" w:rsidR="0034748A" w:rsidRPr="00AC42A1" w:rsidRDefault="0034748A"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highlight w:val="yellow"/>
        </w:rPr>
        <w:t>For Macedonian partner/s</w:t>
      </w:r>
    </w:p>
    <w:p w14:paraId="6DE3F1B8" w14:textId="229004F3" w:rsidR="0034748A" w:rsidRPr="00AC42A1" w:rsidRDefault="0034748A" w:rsidP="009036D4">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w:t>
      </w:r>
    </w:p>
    <w:p w14:paraId="08B86367" w14:textId="77777777" w:rsidR="00DA4F06" w:rsidRPr="00AC42A1" w:rsidRDefault="00915B47">
      <w:pPr>
        <w:shd w:val="clear" w:color="auto" w:fill="FFFFFF"/>
        <w:spacing w:before="100" w:beforeAutospacing="1" w:after="100" w:afterAutospacing="1" w:line="240" w:lineRule="auto"/>
        <w:ind w:left="720"/>
        <w:jc w:val="both"/>
        <w:rPr>
          <w:rFonts w:ascii="Palatino Linotype" w:hAnsi="Palatino Linotype" w:cstheme="minorHAnsi"/>
          <w:sz w:val="24"/>
          <w:szCs w:val="24"/>
        </w:rPr>
      </w:pPr>
      <w:r w:rsidRPr="00AC42A1">
        <w:rPr>
          <w:rFonts w:ascii="Palatino Linotype" w:hAnsi="Palatino Linotype" w:cstheme="minorHAnsi"/>
          <w:sz w:val="24"/>
          <w:szCs w:val="24"/>
        </w:rPr>
        <w:t>Few more thinks to con</w:t>
      </w:r>
      <w:r w:rsidR="00DA4F06" w:rsidRPr="00AC42A1">
        <w:rPr>
          <w:rFonts w:ascii="Palatino Linotype" w:hAnsi="Palatino Linotype" w:cstheme="minorHAnsi"/>
          <w:sz w:val="24"/>
          <w:szCs w:val="24"/>
        </w:rPr>
        <w:t>sider during flood analysis such as:</w:t>
      </w:r>
    </w:p>
    <w:p w14:paraId="2500DD1A" w14:textId="77777777"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Will it change the capacity of existing flood plains for natural flood management? </w:t>
      </w:r>
    </w:p>
    <w:p w14:paraId="7BFF7C7F" w14:textId="77777777"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Will it alter the water retention capacity in the watershed? </w:t>
      </w:r>
    </w:p>
    <w:p w14:paraId="33C68E27" w14:textId="77777777"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Are embankments stable enough to withstand flooding? </w:t>
      </w:r>
    </w:p>
    <w:p w14:paraId="0A1AA769" w14:textId="669CC760" w:rsidR="0034748A"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sz w:val="24"/>
          <w:szCs w:val="24"/>
        </w:rPr>
        <w:t>Will the project be a risk from raising levels of near-surface ground water?</w:t>
      </w:r>
      <w:r w:rsidRPr="00AC42A1">
        <w:rPr>
          <w:rFonts w:ascii="Palatino Linotype" w:hAnsi="Palatino Linotype" w:cstheme="minorHAnsi"/>
          <w:sz w:val="24"/>
          <w:szCs w:val="24"/>
        </w:rPr>
        <w:t xml:space="preserve"> </w:t>
      </w:r>
    </w:p>
    <w:p w14:paraId="2799A949" w14:textId="3C9EB6FC" w:rsidR="00DA4F06" w:rsidRPr="00AC42A1" w:rsidRDefault="00DA4F06"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Will it put at risk </w:t>
      </w:r>
      <w:r w:rsidR="009B57DF" w:rsidRPr="00AC42A1">
        <w:rPr>
          <w:rFonts w:ascii="Palatino Linotype" w:hAnsi="Palatino Linotype"/>
          <w:sz w:val="24"/>
          <w:szCs w:val="24"/>
        </w:rPr>
        <w:t xml:space="preserve">water supply pipelines, reservoirs, waste water treatment facilities </w:t>
      </w:r>
      <w:proofErr w:type="spellStart"/>
      <w:proofErr w:type="gramStart"/>
      <w:r w:rsidR="009B57DF" w:rsidRPr="00AC42A1">
        <w:rPr>
          <w:rFonts w:ascii="Palatino Linotype" w:hAnsi="Palatino Linotype"/>
          <w:sz w:val="24"/>
          <w:szCs w:val="24"/>
        </w:rPr>
        <w:t>etc</w:t>
      </w:r>
      <w:proofErr w:type="spellEnd"/>
      <w:proofErr w:type="gramEnd"/>
    </w:p>
    <w:p w14:paraId="7B579A44" w14:textId="4C8123B4" w:rsidR="009B57DF" w:rsidRPr="00AC42A1" w:rsidRDefault="009B57DF"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sz w:val="24"/>
          <w:szCs w:val="24"/>
        </w:rPr>
        <w:t>Will it put at risk local production or services supply, e.g. blocking access?</w:t>
      </w:r>
    </w:p>
    <w:p w14:paraId="2FDEA5CF" w14:textId="11439493" w:rsidR="009B57DF" w:rsidRPr="00AC42A1" w:rsidRDefault="009B57DF" w:rsidP="00DA4F06">
      <w:pPr>
        <w:pStyle w:val="ListParagraph"/>
        <w:numPr>
          <w:ilvl w:val="0"/>
          <w:numId w:val="4"/>
        </w:num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sz w:val="24"/>
          <w:szCs w:val="24"/>
        </w:rPr>
        <w:t xml:space="preserve">Will it disrupt transport connections, increase traffic flow on main roads?  </w:t>
      </w:r>
    </w:p>
    <w:p w14:paraId="68A77942" w14:textId="7BE3B91B" w:rsidR="009B57DF" w:rsidRPr="00AC42A1" w:rsidRDefault="009B57DF" w:rsidP="009B57DF">
      <w:pPr>
        <w:pStyle w:val="ListParagraph"/>
        <w:shd w:val="clear" w:color="auto" w:fill="FFFFFF"/>
        <w:spacing w:before="100" w:beforeAutospacing="1" w:after="100" w:afterAutospacing="1" w:line="276" w:lineRule="auto"/>
        <w:ind w:left="1440"/>
        <w:jc w:val="both"/>
        <w:rPr>
          <w:rFonts w:ascii="Palatino Linotype" w:hAnsi="Palatino Linotype"/>
          <w:sz w:val="24"/>
          <w:szCs w:val="24"/>
        </w:rPr>
      </w:pPr>
    </w:p>
    <w:p w14:paraId="6A4142BB" w14:textId="64A9FEEF" w:rsidR="009B57DF" w:rsidRPr="00AC42A1" w:rsidRDefault="009B57DF" w:rsidP="009B57DF">
      <w:pPr>
        <w:pStyle w:val="ListParagraph"/>
        <w:shd w:val="clear" w:color="auto" w:fill="FFFFFF"/>
        <w:spacing w:before="100" w:beforeAutospacing="1" w:after="100" w:afterAutospacing="1" w:line="276" w:lineRule="auto"/>
        <w:ind w:left="1440"/>
        <w:jc w:val="both"/>
        <w:rPr>
          <w:rFonts w:ascii="Palatino Linotype" w:hAnsi="Palatino Linotype"/>
          <w:sz w:val="24"/>
          <w:szCs w:val="24"/>
        </w:rPr>
      </w:pPr>
    </w:p>
    <w:p w14:paraId="68A61274" w14:textId="334CA3C2" w:rsidR="009B57DF" w:rsidRPr="00AC42A1" w:rsidRDefault="009B57DF" w:rsidP="00347CA3">
      <w:pPr>
        <w:pStyle w:val="ListParagraph"/>
        <w:shd w:val="clear" w:color="auto" w:fill="FFFFFF"/>
        <w:spacing w:before="100" w:beforeAutospacing="1" w:after="100" w:afterAutospacing="1" w:line="276" w:lineRule="auto"/>
        <w:ind w:left="0"/>
        <w:jc w:val="both"/>
        <w:rPr>
          <w:rFonts w:ascii="Palatino Linotype" w:hAnsi="Palatino Linotype"/>
          <w:b/>
          <w:sz w:val="24"/>
          <w:szCs w:val="24"/>
        </w:rPr>
      </w:pPr>
      <w:r w:rsidRPr="00AC42A1">
        <w:rPr>
          <w:rFonts w:ascii="Palatino Linotype" w:hAnsi="Palatino Linotype"/>
          <w:b/>
          <w:sz w:val="24"/>
          <w:szCs w:val="24"/>
        </w:rPr>
        <w:t xml:space="preserve">If the infrastructure will not affect current conditions or will have a zero effect on current conditions mark “low” in the table </w:t>
      </w:r>
    </w:p>
    <w:p w14:paraId="1E330F9D" w14:textId="77777777" w:rsidR="009B57DF" w:rsidRPr="00AC42A1" w:rsidRDefault="009B57DF" w:rsidP="009B57DF">
      <w:pPr>
        <w:pStyle w:val="ListParagraph"/>
        <w:shd w:val="clear" w:color="auto" w:fill="FFFFFF"/>
        <w:spacing w:before="100" w:beforeAutospacing="1" w:after="100" w:afterAutospacing="1" w:line="276" w:lineRule="auto"/>
        <w:ind w:left="1440"/>
        <w:jc w:val="both"/>
        <w:rPr>
          <w:rFonts w:ascii="Palatino Linotype" w:hAnsi="Palatino Linotype"/>
          <w:sz w:val="24"/>
          <w:szCs w:val="24"/>
        </w:rPr>
      </w:pPr>
    </w:p>
    <w:p w14:paraId="4288D168" w14:textId="437B08FB" w:rsidR="009B57DF" w:rsidRPr="00AC42A1" w:rsidRDefault="009B57DF" w:rsidP="009B57DF">
      <w:pPr>
        <w:pStyle w:val="ListParagraph"/>
        <w:numPr>
          <w:ilvl w:val="0"/>
          <w:numId w:val="5"/>
        </w:num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Heat/Forest fire</w:t>
      </w:r>
    </w:p>
    <w:p w14:paraId="62147067" w14:textId="52CF6804" w:rsidR="009B57DF" w:rsidRPr="00AC42A1" w:rsidRDefault="009B57DF" w:rsidP="009B57DF">
      <w:p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Different geographical locations can be exposed to different climate hazards. It is useful to understand how the exposure of different geographic areas will change as a result of changing climate hazards, as illustrated in the list below:</w:t>
      </w:r>
    </w:p>
    <w:p w14:paraId="79FFD11D" w14:textId="130D41B5" w:rsidR="009B57DF" w:rsidRPr="00AC42A1" w:rsidRDefault="009B57DF" w:rsidP="009B57DF">
      <w:p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lastRenderedPageBreak/>
        <w:t>For instance: — areas where people depend on natural resources for income/livelihood — coastal areas, islands and offshore locations are particularly exposed to increasing storm surge heights, wave heights, coastal flooding and erosion; — areas with low and falling seasonal precipitation are often more exposed to increasing risks of drought, subsidence and wildfire; — areas with high and increasing temperature are often more at risk of heatwaves; — areas with increased seasonal precipitation (possibly combined with more rapid snowmelt and cloudbursts) are often more exposed to flash floods and erosion; — areas containing both tangible and intangible cultural heritage.</w:t>
      </w:r>
    </w:p>
    <w:p w14:paraId="7E9E8402" w14:textId="1A467EC6" w:rsidR="009B57DF" w:rsidRPr="00AC42A1" w:rsidRDefault="009B57DF" w:rsidP="009B57DF">
      <w:pPr>
        <w:shd w:val="clear" w:color="auto" w:fill="FFFFFF"/>
        <w:spacing w:before="100" w:beforeAutospacing="1" w:after="100" w:afterAutospacing="1" w:line="276" w:lineRule="auto"/>
        <w:jc w:val="both"/>
        <w:rPr>
          <w:rFonts w:ascii="Palatino Linotype" w:hAnsi="Palatino Linotype"/>
          <w:sz w:val="24"/>
          <w:szCs w:val="24"/>
        </w:rPr>
      </w:pPr>
      <w:r w:rsidRPr="00AC42A1">
        <w:rPr>
          <w:rFonts w:ascii="Palatino Linotype" w:hAnsi="Palatino Linotype"/>
          <w:sz w:val="24"/>
          <w:szCs w:val="24"/>
        </w:rPr>
        <w:t xml:space="preserve">Where to find data if your region is climate hazard zone such as heatwaves or forest fire? </w:t>
      </w:r>
    </w:p>
    <w:p w14:paraId="0D011CA1" w14:textId="230BCEB8" w:rsidR="009B57DF" w:rsidRPr="00AC42A1" w:rsidRDefault="009B57DF" w:rsidP="009B57DF">
      <w:p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 xml:space="preserve">Every country </w:t>
      </w:r>
      <w:r w:rsidR="00347CA3" w:rsidRPr="00AC42A1">
        <w:rPr>
          <w:rFonts w:ascii="Palatino Linotype" w:hAnsi="Palatino Linotype" w:cstheme="minorHAnsi"/>
          <w:b/>
          <w:sz w:val="24"/>
          <w:szCs w:val="24"/>
        </w:rPr>
        <w:t>has</w:t>
      </w:r>
      <w:r w:rsidRPr="00AC42A1">
        <w:rPr>
          <w:rFonts w:ascii="Palatino Linotype" w:hAnsi="Palatino Linotype" w:cstheme="minorHAnsi"/>
          <w:b/>
          <w:sz w:val="24"/>
          <w:szCs w:val="24"/>
        </w:rPr>
        <w:t xml:space="preserve"> a local institution which is monitoring weather and makes short and long term predictions, also making present and future models based on data. For Bulgarian partner/s information is available at </w:t>
      </w:r>
      <w:hyperlink r:id="rId12" w:history="1">
        <w:r w:rsidRPr="00AC42A1">
          <w:rPr>
            <w:rStyle w:val="Hyperlink"/>
            <w:rFonts w:ascii="Palatino Linotype" w:hAnsi="Palatino Linotype" w:cstheme="minorHAnsi"/>
            <w:b/>
            <w:color w:val="auto"/>
            <w:sz w:val="24"/>
            <w:szCs w:val="24"/>
          </w:rPr>
          <w:t>https://www.meteo.bg/bg</w:t>
        </w:r>
      </w:hyperlink>
      <w:r w:rsidRPr="00AC42A1">
        <w:rPr>
          <w:rFonts w:ascii="Palatino Linotype" w:hAnsi="Palatino Linotype" w:cstheme="minorHAnsi"/>
          <w:b/>
          <w:sz w:val="24"/>
          <w:szCs w:val="24"/>
        </w:rPr>
        <w:t xml:space="preserve"> - National institute of Meteorology and Hydrology. For Macedonian partner/s data is available at</w:t>
      </w:r>
      <w:r w:rsidRPr="00425631">
        <w:rPr>
          <w:rFonts w:ascii="Palatino Linotype" w:hAnsi="Palatino Linotype" w:cstheme="minorHAnsi"/>
          <w:b/>
          <w:sz w:val="24"/>
          <w:szCs w:val="24"/>
          <w:highlight w:val="yellow"/>
        </w:rPr>
        <w:t>……………</w:t>
      </w:r>
      <w:r w:rsidRPr="00AC42A1">
        <w:rPr>
          <w:rFonts w:ascii="Palatino Linotype" w:hAnsi="Palatino Linotype" w:cstheme="minorHAnsi"/>
          <w:b/>
          <w:sz w:val="24"/>
          <w:szCs w:val="24"/>
        </w:rPr>
        <w:t>.</w:t>
      </w:r>
    </w:p>
    <w:p w14:paraId="558FF6B1" w14:textId="4554836F" w:rsidR="00EF2811" w:rsidRPr="00AC42A1" w:rsidRDefault="00347CA3" w:rsidP="00EF2811">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shd w:val="clear" w:color="auto" w:fill="FFFFFF"/>
        </w:rPr>
        <w:t>At European level, information can be provided by t</w:t>
      </w:r>
      <w:r w:rsidR="009B57DF" w:rsidRPr="00AC42A1">
        <w:rPr>
          <w:rFonts w:ascii="Palatino Linotype" w:hAnsi="Palatino Linotype" w:cstheme="minorHAnsi"/>
          <w:sz w:val="24"/>
          <w:szCs w:val="24"/>
          <w:shd w:val="clear" w:color="auto" w:fill="FFFFFF"/>
        </w:rPr>
        <w:t xml:space="preserve">he Joint Research Centre (JRC) of the European Commission (EC) stablished by DG ENV and JRC </w:t>
      </w:r>
      <w:r w:rsidR="00EF2811" w:rsidRPr="00AC42A1">
        <w:rPr>
          <w:rFonts w:ascii="Palatino Linotype" w:hAnsi="Palatino Linotype" w:cstheme="minorHAnsi"/>
          <w:sz w:val="24"/>
          <w:szCs w:val="24"/>
          <w:shd w:val="clear" w:color="auto" w:fill="FFFFFF"/>
        </w:rPr>
        <w:t>developed</w:t>
      </w:r>
      <w:r w:rsidR="009B57DF" w:rsidRPr="00AC42A1">
        <w:rPr>
          <w:rFonts w:ascii="Palatino Linotype" w:hAnsi="Palatino Linotype" w:cstheme="minorHAnsi"/>
          <w:sz w:val="24"/>
          <w:szCs w:val="24"/>
          <w:shd w:val="clear" w:color="auto" w:fill="FFFFFF"/>
        </w:rPr>
        <w:t xml:space="preserve"> the European Forest Fire Information System (EFFIS)</w:t>
      </w:r>
      <w:r w:rsidR="00EF2811" w:rsidRPr="00AC42A1">
        <w:rPr>
          <w:rFonts w:ascii="Palatino Linotype" w:hAnsi="Palatino Linotype" w:cstheme="minorHAnsi"/>
          <w:sz w:val="24"/>
          <w:szCs w:val="24"/>
          <w:shd w:val="clear" w:color="auto" w:fill="FFFFFF"/>
        </w:rPr>
        <w:t>.</w:t>
      </w:r>
      <w:r w:rsidR="00EF2811" w:rsidRPr="00AC42A1">
        <w:rPr>
          <w:rFonts w:ascii="Palatino Linotype" w:hAnsi="Palatino Linotype" w:cstheme="minorHAnsi"/>
          <w:sz w:val="24"/>
          <w:szCs w:val="24"/>
        </w:rPr>
        <w:t xml:space="preserve"> </w:t>
      </w:r>
      <w:r w:rsidR="00EF2811" w:rsidRPr="00AC42A1">
        <w:rPr>
          <w:rFonts w:ascii="Palatino Linotype" w:hAnsi="Palatino Linotype" w:cstheme="minorHAnsi"/>
          <w:sz w:val="24"/>
          <w:szCs w:val="24"/>
          <w:shd w:val="clear" w:color="auto" w:fill="FFFFFF"/>
        </w:rPr>
        <w:t xml:space="preserve">EFFIS has been continuously expanding, sustained by the research work done at the JRC and supported by other European Commission services (DG ENV, DG ECHO, DG GROW) and the European Countries. Since the year 2015, EFFIS is part of the EU Copernicus Program, under the Emergency Management Service (EMS).   </w:t>
      </w:r>
    </w:p>
    <w:p w14:paraId="35B3D9C6" w14:textId="17062F0E" w:rsidR="009B57DF" w:rsidRPr="00AC42A1" w:rsidRDefault="00EF2811" w:rsidP="00EF2811">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shd w:val="clear" w:color="auto" w:fill="FFFFFF"/>
        </w:rPr>
        <w:t>EFFIS was created through cooperative effort of the countries and the EC Services, and is open to all European countries. Further, an agreement with FAO Silva-</w:t>
      </w:r>
      <w:r w:rsidR="00347CA3" w:rsidRPr="00AC42A1">
        <w:rPr>
          <w:rFonts w:ascii="Palatino Linotype" w:hAnsi="Palatino Linotype" w:cstheme="minorHAnsi"/>
          <w:sz w:val="24"/>
          <w:szCs w:val="24"/>
          <w:shd w:val="clear" w:color="auto" w:fill="FFFFFF"/>
        </w:rPr>
        <w:t>Mediterranean</w:t>
      </w:r>
      <w:r w:rsidRPr="00AC42A1">
        <w:rPr>
          <w:rFonts w:ascii="Palatino Linotype" w:hAnsi="Palatino Linotype" w:cstheme="minorHAnsi"/>
          <w:sz w:val="24"/>
          <w:szCs w:val="24"/>
          <w:shd w:val="clear" w:color="auto" w:fill="FFFFFF"/>
        </w:rPr>
        <w:t xml:space="preserve"> was reached to extend the system to all non-EU Mediterranean countries. All data and services provided by JRC can be found at </w:t>
      </w:r>
      <w:hyperlink r:id="rId13" w:history="1">
        <w:r w:rsidRPr="00AC42A1">
          <w:rPr>
            <w:rStyle w:val="Hyperlink"/>
            <w:rFonts w:ascii="Palatino Linotype" w:hAnsi="Palatino Linotype" w:cstheme="minorHAnsi"/>
            <w:color w:val="auto"/>
            <w:sz w:val="24"/>
            <w:szCs w:val="24"/>
            <w:shd w:val="clear" w:color="auto" w:fill="FFFFFF"/>
          </w:rPr>
          <w:t>https://effis.jrc.ec.europa.eu/applications/data-and-services</w:t>
        </w:r>
      </w:hyperlink>
      <w:r w:rsidRPr="00AC42A1">
        <w:rPr>
          <w:rFonts w:ascii="Palatino Linotype" w:hAnsi="Palatino Linotype" w:cstheme="minorHAnsi"/>
          <w:sz w:val="24"/>
          <w:szCs w:val="24"/>
          <w:shd w:val="clear" w:color="auto" w:fill="FFFFFF"/>
        </w:rPr>
        <w:t xml:space="preserve">. </w:t>
      </w:r>
    </w:p>
    <w:p w14:paraId="6347E721" w14:textId="33B11C88" w:rsidR="00347CA3" w:rsidRPr="00AC42A1" w:rsidRDefault="00347CA3" w:rsidP="00EF2811">
      <w:p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What must be consider during evaluation of this component?</w:t>
      </w:r>
    </w:p>
    <w:p w14:paraId="1F5D50CF" w14:textId="013CE274"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the proposed project restrain air circulation or reduce open spaces? </w:t>
      </w:r>
    </w:p>
    <w:p w14:paraId="17C83696" w14:textId="1C10832D"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lastRenderedPageBreak/>
        <w:t>Will the proposed project be endangered by forest fire?</w:t>
      </w:r>
    </w:p>
    <w:p w14:paraId="279B05DE"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absorb or generate heat? </w:t>
      </w:r>
    </w:p>
    <w:p w14:paraId="2BE30410" w14:textId="49930105"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emit volatile organic compounds (VOCs) and nitrogen oxides (NOx) and contribute to tropospheric ozone formation during sunny and warm days? </w:t>
      </w:r>
    </w:p>
    <w:p w14:paraId="3DEE42D5"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Can it be affected by heatwaves? </w:t>
      </w:r>
    </w:p>
    <w:p w14:paraId="63BEC063" w14:textId="77777777"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increase energy and water demand for cooling? </w:t>
      </w:r>
    </w:p>
    <w:p w14:paraId="2CA06539" w14:textId="6CC6AAB5" w:rsidR="00347CA3" w:rsidRPr="00AC42A1" w:rsidRDefault="00347CA3" w:rsidP="00347CA3">
      <w:pPr>
        <w:pStyle w:val="ListParagraph"/>
        <w:numPr>
          <w:ilvl w:val="0"/>
          <w:numId w:val="6"/>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Can the materials used during construction withstand higher temperatures (or will they experience, for example, material fatigue or surface degradation)?</w:t>
      </w:r>
    </w:p>
    <w:p w14:paraId="52197C96" w14:textId="6C0A184A" w:rsidR="00347CA3" w:rsidRPr="00AC42A1" w:rsidRDefault="00347CA3" w:rsidP="00347CA3">
      <w:pPr>
        <w:pStyle w:val="ListParagraph"/>
        <w:numPr>
          <w:ilvl w:val="0"/>
          <w:numId w:val="4"/>
        </w:numPr>
        <w:shd w:val="clear" w:color="auto" w:fill="FFFFFF"/>
        <w:spacing w:before="100" w:beforeAutospacing="1" w:after="100" w:afterAutospacing="1" w:line="360" w:lineRule="auto"/>
        <w:ind w:left="426" w:firstLine="0"/>
        <w:jc w:val="both"/>
        <w:rPr>
          <w:rFonts w:ascii="Palatino Linotype" w:hAnsi="Palatino Linotype" w:cstheme="minorHAnsi"/>
          <w:sz w:val="24"/>
          <w:szCs w:val="24"/>
        </w:rPr>
      </w:pPr>
      <w:r w:rsidRPr="00AC42A1">
        <w:rPr>
          <w:rFonts w:ascii="Palatino Linotype" w:hAnsi="Palatino Linotype"/>
          <w:sz w:val="24"/>
          <w:szCs w:val="24"/>
        </w:rPr>
        <w:t>Will it put at risk local production or services supply, e.g. area is not accessible?</w:t>
      </w:r>
    </w:p>
    <w:p w14:paraId="36CD5578" w14:textId="77777777" w:rsidR="00347CA3" w:rsidRPr="00AC42A1" w:rsidRDefault="00347CA3" w:rsidP="00347CA3">
      <w:pPr>
        <w:pStyle w:val="ListParagraph"/>
        <w:numPr>
          <w:ilvl w:val="0"/>
          <w:numId w:val="4"/>
        </w:numPr>
        <w:shd w:val="clear" w:color="auto" w:fill="FFFFFF"/>
        <w:spacing w:before="100" w:beforeAutospacing="1" w:after="100" w:afterAutospacing="1" w:line="360" w:lineRule="auto"/>
        <w:ind w:left="426" w:firstLine="0"/>
        <w:jc w:val="both"/>
        <w:rPr>
          <w:rFonts w:ascii="Palatino Linotype" w:hAnsi="Palatino Linotype" w:cstheme="minorHAnsi"/>
          <w:sz w:val="24"/>
          <w:szCs w:val="24"/>
        </w:rPr>
      </w:pPr>
      <w:r w:rsidRPr="00AC42A1">
        <w:rPr>
          <w:rFonts w:ascii="Palatino Linotype" w:hAnsi="Palatino Linotype"/>
          <w:sz w:val="24"/>
          <w:szCs w:val="24"/>
        </w:rPr>
        <w:t xml:space="preserve">Will it disrupt transport connections, increase traffic flow on main roads?  </w:t>
      </w:r>
    </w:p>
    <w:p w14:paraId="1C8FC230" w14:textId="55935EFF" w:rsidR="00347CA3" w:rsidRPr="00AC42A1" w:rsidRDefault="00347CA3" w:rsidP="00347CA3">
      <w:pPr>
        <w:shd w:val="clear" w:color="auto" w:fill="FFFFFF"/>
        <w:spacing w:before="100" w:beforeAutospacing="1" w:after="100" w:afterAutospacing="1" w:line="276" w:lineRule="auto"/>
        <w:ind w:left="426"/>
        <w:jc w:val="both"/>
        <w:rPr>
          <w:rFonts w:ascii="Palatino Linotype" w:hAnsi="Palatino Linotype"/>
          <w:b/>
          <w:sz w:val="24"/>
          <w:szCs w:val="24"/>
        </w:rPr>
      </w:pPr>
      <w:r w:rsidRPr="00AC42A1">
        <w:rPr>
          <w:rFonts w:ascii="Palatino Linotype" w:hAnsi="Palatino Linotype"/>
          <w:b/>
          <w:sz w:val="24"/>
          <w:szCs w:val="24"/>
        </w:rPr>
        <w:t>If the infrastructure will not affect current conditions or will have a zero effect on current conditions mark “low” in the table</w:t>
      </w:r>
    </w:p>
    <w:p w14:paraId="11B040E5" w14:textId="46797DBC" w:rsidR="00347CA3" w:rsidRPr="00AC42A1" w:rsidRDefault="00347CA3" w:rsidP="009970D1">
      <w:pPr>
        <w:pStyle w:val="ListParagraph"/>
        <w:numPr>
          <w:ilvl w:val="0"/>
          <w:numId w:val="5"/>
        </w:numPr>
        <w:shd w:val="clear" w:color="auto" w:fill="FFFFFF"/>
        <w:spacing w:before="100" w:beforeAutospacing="1" w:after="100" w:afterAutospacing="1" w:line="276" w:lineRule="auto"/>
        <w:jc w:val="both"/>
        <w:rPr>
          <w:rFonts w:ascii="Palatino Linotype" w:hAnsi="Palatino Linotype"/>
          <w:b/>
          <w:sz w:val="24"/>
          <w:szCs w:val="24"/>
        </w:rPr>
      </w:pPr>
      <w:r w:rsidRPr="00AC42A1">
        <w:rPr>
          <w:rFonts w:ascii="Palatino Linotype" w:hAnsi="Palatino Linotype" w:cstheme="minorHAnsi"/>
          <w:b/>
          <w:sz w:val="24"/>
          <w:szCs w:val="24"/>
        </w:rPr>
        <w:t>Drought</w:t>
      </w:r>
    </w:p>
    <w:p w14:paraId="3DD95E5A" w14:textId="5643053A" w:rsidR="009970D1" w:rsidRPr="00AC42A1" w:rsidRDefault="009970D1" w:rsidP="009970D1">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rPr>
        <w:t xml:space="preserve">The economic impacts of drought affect many sectors of the economy and reach well beyond the area experiencing physical drought. Direct economic impacts of drought affect industries including agriculture, recreation, energy, tourism, timber, fisheries, and others that rely heavily on water. Indirect economic impacts of drought can be just as severe and damaging as direct impacts. Indirect impacts include job losses, business failures, lost investments, economic uncertainty, and changed development and consumption patterns. Drought often correlates with large wildfire events and changes to soil that increase cyclical flooding and/or result in land subsidence. Severe droughts can result in shortages of water supplies, with widespread social and economic consequences. </w:t>
      </w:r>
      <w:r w:rsidRPr="00AC42A1">
        <w:rPr>
          <w:rFonts w:ascii="Palatino Linotype" w:hAnsi="Palatino Linotype" w:cstheme="minorHAnsi"/>
          <w:sz w:val="24"/>
          <w:szCs w:val="24"/>
          <w:shd w:val="clear" w:color="auto" w:fill="FFFFFF"/>
        </w:rPr>
        <w:t>Drought-induced water scarcity and lack in water supply affect further sectors and critical infrastructures. A lack in water will negatively affect the electricity production and services.</w:t>
      </w:r>
    </w:p>
    <w:p w14:paraId="0DAB566C" w14:textId="77777777" w:rsidR="009970D1" w:rsidRPr="00AC42A1" w:rsidRDefault="009970D1"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Due to the different types of drought, drought monitoring is based on the analysis of a series of drought indicators, representing different components of the hydrological cycle </w:t>
      </w:r>
      <w:r w:rsidRPr="00AC42A1">
        <w:rPr>
          <w:rFonts w:ascii="Palatino Linotype" w:hAnsi="Palatino Linotype" w:cstheme="minorHAnsi"/>
          <w:sz w:val="24"/>
          <w:szCs w:val="24"/>
        </w:rPr>
        <w:lastRenderedPageBreak/>
        <w:t>(e.g. precipitation, soil moisture, reservoir levels, river flow, groundwater levels) or impacts (e.g. vegetation water stress). Usually indicators represent statistical anomalies of the current situation with respect to the long-term climatology at a given location and period of time. As such they are a measure of the probabilistic severity of a given event.</w:t>
      </w:r>
    </w:p>
    <w:p w14:paraId="642C5BFB" w14:textId="31CE16C6" w:rsidR="009970D1" w:rsidRPr="00AC42A1" w:rsidRDefault="009970D1"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In order to ease the interpretation and to provide information for </w:t>
      </w:r>
      <w:r w:rsidR="00DE1623" w:rsidRPr="00AC42A1">
        <w:rPr>
          <w:rFonts w:ascii="Palatino Linotype" w:hAnsi="Palatino Linotype" w:cstheme="minorHAnsi"/>
          <w:sz w:val="24"/>
          <w:szCs w:val="24"/>
        </w:rPr>
        <w:t>project impact evaluation, each candidate must check the area where the intended infrastructure will be build and compare data from various sources in order to determine the effect of the project to</w:t>
      </w:r>
      <w:r w:rsidRPr="00AC42A1">
        <w:rPr>
          <w:rFonts w:ascii="Palatino Linotype" w:hAnsi="Palatino Linotype" w:cstheme="minorHAnsi"/>
          <w:sz w:val="24"/>
          <w:szCs w:val="24"/>
        </w:rPr>
        <w:t xml:space="preserve"> </w:t>
      </w:r>
      <w:r w:rsidR="00DE1623" w:rsidRPr="00AC42A1">
        <w:rPr>
          <w:rFonts w:ascii="Palatino Linotype" w:hAnsi="Palatino Linotype" w:cstheme="minorHAnsi"/>
          <w:sz w:val="24"/>
          <w:szCs w:val="24"/>
        </w:rPr>
        <w:t xml:space="preserve">local </w:t>
      </w:r>
      <w:r w:rsidRPr="00AC42A1">
        <w:rPr>
          <w:rFonts w:ascii="Palatino Linotype" w:hAnsi="Palatino Linotype" w:cstheme="minorHAnsi"/>
          <w:sz w:val="24"/>
          <w:szCs w:val="24"/>
        </w:rPr>
        <w:t xml:space="preserve">agricultural </w:t>
      </w:r>
      <w:r w:rsidR="00DE1623" w:rsidRPr="00AC42A1">
        <w:rPr>
          <w:rFonts w:ascii="Palatino Linotype" w:hAnsi="Palatino Linotype" w:cstheme="minorHAnsi"/>
          <w:sz w:val="24"/>
          <w:szCs w:val="24"/>
        </w:rPr>
        <w:t xml:space="preserve">sector </w:t>
      </w:r>
      <w:r w:rsidRPr="00AC42A1">
        <w:rPr>
          <w:rFonts w:ascii="Palatino Linotype" w:hAnsi="Palatino Linotype" w:cstheme="minorHAnsi"/>
          <w:sz w:val="24"/>
          <w:szCs w:val="24"/>
        </w:rPr>
        <w:t xml:space="preserve">and </w:t>
      </w:r>
      <w:r w:rsidR="00DE1623" w:rsidRPr="00AC42A1">
        <w:rPr>
          <w:rFonts w:ascii="Palatino Linotype" w:hAnsi="Palatino Linotype" w:cstheme="minorHAnsi"/>
          <w:sz w:val="24"/>
          <w:szCs w:val="24"/>
        </w:rPr>
        <w:t xml:space="preserve">local </w:t>
      </w:r>
      <w:r w:rsidRPr="00AC42A1">
        <w:rPr>
          <w:rFonts w:ascii="Palatino Linotype" w:hAnsi="Palatino Linotype" w:cstheme="minorHAnsi"/>
          <w:sz w:val="24"/>
          <w:szCs w:val="24"/>
        </w:rPr>
        <w:t>ecosystem.</w:t>
      </w:r>
    </w:p>
    <w:p w14:paraId="4A4C77A1" w14:textId="2278E97D" w:rsidR="00DE1623" w:rsidRPr="00AC42A1" w:rsidRDefault="00DE1623"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For Bulgarian partner/s information on current drought conditions in the country can be found on </w:t>
      </w:r>
      <w:hyperlink r:id="rId14" w:history="1">
        <w:r w:rsidRPr="00AC42A1">
          <w:rPr>
            <w:rStyle w:val="Hyperlink"/>
            <w:rFonts w:ascii="Palatino Linotype" w:hAnsi="Palatino Linotype" w:cstheme="minorHAnsi"/>
            <w:color w:val="auto"/>
            <w:sz w:val="24"/>
            <w:szCs w:val="24"/>
          </w:rPr>
          <w:t>http://gis.mrrb.government.bg/</w:t>
        </w:r>
      </w:hyperlink>
      <w:r w:rsidRPr="00AC42A1">
        <w:rPr>
          <w:rFonts w:ascii="Palatino Linotype" w:hAnsi="Palatino Linotype" w:cstheme="minorHAnsi"/>
          <w:sz w:val="24"/>
          <w:szCs w:val="24"/>
        </w:rPr>
        <w:t xml:space="preserve">; </w:t>
      </w:r>
      <w:hyperlink r:id="rId15" w:history="1">
        <w:r w:rsidRPr="00AC42A1">
          <w:rPr>
            <w:rStyle w:val="Hyperlink"/>
            <w:rFonts w:ascii="Palatino Linotype" w:hAnsi="Palatino Linotype" w:cstheme="minorHAnsi"/>
            <w:color w:val="auto"/>
            <w:sz w:val="24"/>
            <w:szCs w:val="24"/>
          </w:rPr>
          <w:t>http://nationalsoils.com/%D0%BA%D0%B0%D1%80%D1%82%D0%B8/</w:t>
        </w:r>
      </w:hyperlink>
      <w:r w:rsidRPr="00AC42A1">
        <w:rPr>
          <w:rFonts w:ascii="Palatino Linotype" w:hAnsi="Palatino Linotype" w:cstheme="minorHAnsi"/>
          <w:sz w:val="24"/>
          <w:szCs w:val="24"/>
        </w:rPr>
        <w:t xml:space="preserve"> and some report published on the website of the MOEW.</w:t>
      </w:r>
    </w:p>
    <w:p w14:paraId="538D6B7C" w14:textId="09D4C924" w:rsidR="00DE1623" w:rsidRPr="00AC42A1" w:rsidRDefault="00DE1623" w:rsidP="009970D1">
      <w:pPr>
        <w:shd w:val="clear" w:color="auto" w:fill="FFFFFF"/>
        <w:spacing w:before="100" w:beforeAutospacing="1" w:after="100" w:afterAutospacing="1" w:line="276" w:lineRule="auto"/>
        <w:jc w:val="both"/>
        <w:rPr>
          <w:rFonts w:ascii="Palatino Linotype" w:hAnsi="Palatino Linotype" w:cstheme="minorHAnsi"/>
          <w:sz w:val="24"/>
          <w:szCs w:val="24"/>
        </w:rPr>
      </w:pPr>
      <w:r w:rsidRPr="00AC42A1">
        <w:rPr>
          <w:rFonts w:ascii="Palatino Linotype" w:hAnsi="Palatino Linotype" w:cstheme="minorHAnsi"/>
          <w:sz w:val="24"/>
          <w:szCs w:val="24"/>
        </w:rPr>
        <w:t xml:space="preserve">For Macedonian partner/s </w:t>
      </w:r>
      <w:r w:rsidRPr="00425631">
        <w:rPr>
          <w:rFonts w:ascii="Palatino Linotype" w:hAnsi="Palatino Linotype" w:cstheme="minorHAnsi"/>
          <w:sz w:val="24"/>
          <w:szCs w:val="24"/>
          <w:highlight w:val="yellow"/>
        </w:rPr>
        <w:t>………………</w:t>
      </w:r>
    </w:p>
    <w:p w14:paraId="433523B3" w14:textId="467E512E" w:rsidR="00DE1623" w:rsidRPr="00AC42A1" w:rsidRDefault="00DE1623" w:rsidP="00D76E00">
      <w:pPr>
        <w:shd w:val="clear" w:color="auto" w:fill="FFFFFF"/>
        <w:spacing w:before="100" w:beforeAutospacing="1" w:after="100" w:afterAutospacing="1" w:line="276" w:lineRule="auto"/>
        <w:jc w:val="both"/>
        <w:rPr>
          <w:rFonts w:ascii="Palatino Linotype" w:hAnsi="Palatino Linotype" w:cstheme="minorHAnsi"/>
          <w:sz w:val="24"/>
          <w:szCs w:val="24"/>
          <w:shd w:val="clear" w:color="auto" w:fill="FFFFFF"/>
        </w:rPr>
      </w:pPr>
      <w:r w:rsidRPr="00AC42A1">
        <w:rPr>
          <w:rFonts w:ascii="Palatino Linotype" w:hAnsi="Palatino Linotype" w:cstheme="minorHAnsi"/>
          <w:sz w:val="24"/>
          <w:szCs w:val="24"/>
          <w:shd w:val="clear" w:color="auto" w:fill="FFFFFF"/>
        </w:rPr>
        <w:t>At European level, information can be provided by European Drought Observatory</w:t>
      </w:r>
      <w:r w:rsidR="00D76E00" w:rsidRPr="00AC42A1">
        <w:rPr>
          <w:rFonts w:ascii="Palatino Linotype" w:hAnsi="Palatino Linotype" w:cstheme="minorHAnsi"/>
          <w:sz w:val="24"/>
          <w:szCs w:val="24"/>
          <w:shd w:val="clear" w:color="auto" w:fill="FFFFFF"/>
        </w:rPr>
        <w:t xml:space="preserve">. Drought-relevant information such as maps of indicators derived from different data sources (e.g., precipitation measurements, satellite measurements, modelled soil moisture content), and different tools, like Compare Layers, allow for displaying and </w:t>
      </w:r>
      <w:proofErr w:type="spellStart"/>
      <w:r w:rsidR="00D76E00" w:rsidRPr="00AC42A1">
        <w:rPr>
          <w:rFonts w:ascii="Palatino Linotype" w:hAnsi="Palatino Linotype" w:cstheme="minorHAnsi"/>
          <w:sz w:val="24"/>
          <w:szCs w:val="24"/>
          <w:shd w:val="clear" w:color="auto" w:fill="FFFFFF"/>
        </w:rPr>
        <w:t>analysing</w:t>
      </w:r>
      <w:proofErr w:type="spellEnd"/>
      <w:r w:rsidR="00D76E00" w:rsidRPr="00AC42A1">
        <w:rPr>
          <w:rFonts w:ascii="Palatino Linotype" w:hAnsi="Palatino Linotype" w:cstheme="minorHAnsi"/>
          <w:sz w:val="24"/>
          <w:szCs w:val="24"/>
          <w:shd w:val="clear" w:color="auto" w:fill="FFFFFF"/>
        </w:rPr>
        <w:t xml:space="preserve"> the information and drought reports give an overview of the situation in case of imminent droughts can be downloaded from </w:t>
      </w:r>
      <w:hyperlink r:id="rId16" w:history="1">
        <w:r w:rsidR="00D76E00" w:rsidRPr="00AC42A1">
          <w:rPr>
            <w:rStyle w:val="Hyperlink"/>
            <w:rFonts w:ascii="Palatino Linotype" w:hAnsi="Palatino Linotype" w:cstheme="minorHAnsi"/>
            <w:color w:val="auto"/>
            <w:sz w:val="24"/>
            <w:szCs w:val="24"/>
            <w:shd w:val="clear" w:color="auto" w:fill="FFFFFF"/>
          </w:rPr>
          <w:t>https://edo.jrc.ec.europa.eu/edov2/php/index.php?id=1000</w:t>
        </w:r>
      </w:hyperlink>
      <w:r w:rsidR="00D76E00" w:rsidRPr="00AC42A1">
        <w:rPr>
          <w:rFonts w:ascii="Palatino Linotype" w:hAnsi="Palatino Linotype" w:cstheme="minorHAnsi"/>
          <w:sz w:val="24"/>
          <w:szCs w:val="24"/>
          <w:shd w:val="clear" w:color="auto" w:fill="FFFFFF"/>
        </w:rPr>
        <w:t xml:space="preserve">  or </w:t>
      </w:r>
      <w:hyperlink r:id="rId17" w:history="1">
        <w:r w:rsidR="00D76E00" w:rsidRPr="00AC42A1">
          <w:rPr>
            <w:rStyle w:val="Hyperlink"/>
            <w:rFonts w:ascii="Palatino Linotype" w:hAnsi="Palatino Linotype" w:cstheme="minorHAnsi"/>
            <w:color w:val="auto"/>
            <w:sz w:val="24"/>
            <w:szCs w:val="24"/>
            <w:shd w:val="clear" w:color="auto" w:fill="FFFFFF"/>
          </w:rPr>
          <w:t>https://edo.jrc.ec.europa.eu/gdo/php/index.php?id=2112</w:t>
        </w:r>
      </w:hyperlink>
      <w:r w:rsidR="00D76E00" w:rsidRPr="00AC42A1">
        <w:rPr>
          <w:rFonts w:ascii="Palatino Linotype" w:hAnsi="Palatino Linotype" w:cstheme="minorHAnsi"/>
          <w:sz w:val="24"/>
          <w:szCs w:val="24"/>
          <w:shd w:val="clear" w:color="auto" w:fill="FFFFFF"/>
        </w:rPr>
        <w:t xml:space="preserve">. </w:t>
      </w:r>
    </w:p>
    <w:p w14:paraId="69A7AFF4" w14:textId="77777777" w:rsidR="00D76E00" w:rsidRPr="00AC42A1" w:rsidRDefault="00D76E00" w:rsidP="00D76E00">
      <w:pPr>
        <w:shd w:val="clear" w:color="auto" w:fill="FFFFFF"/>
        <w:spacing w:before="100" w:beforeAutospacing="1" w:after="100" w:afterAutospacing="1" w:line="276" w:lineRule="auto"/>
        <w:jc w:val="both"/>
        <w:rPr>
          <w:rFonts w:ascii="Palatino Linotype" w:hAnsi="Palatino Linotype" w:cstheme="minorHAnsi"/>
          <w:b/>
          <w:sz w:val="24"/>
          <w:szCs w:val="24"/>
        </w:rPr>
      </w:pPr>
      <w:r w:rsidRPr="00AC42A1">
        <w:rPr>
          <w:rFonts w:ascii="Palatino Linotype" w:hAnsi="Palatino Linotype" w:cstheme="minorHAnsi"/>
          <w:b/>
          <w:sz w:val="24"/>
          <w:szCs w:val="24"/>
        </w:rPr>
        <w:t>What must be consider during evaluation of this component?</w:t>
      </w:r>
    </w:p>
    <w:p w14:paraId="05E81BB6"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the proposed project increase water demand? </w:t>
      </w:r>
    </w:p>
    <w:p w14:paraId="0DC52A22"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Will it adversely affect the aquifers?</w:t>
      </w:r>
    </w:p>
    <w:p w14:paraId="4B0E0A41" w14:textId="1C701961"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Is the proposed project vulnerable to low river flows or higher water temperatures? </w:t>
      </w:r>
    </w:p>
    <w:p w14:paraId="10E24943"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lastRenderedPageBreak/>
        <w:t xml:space="preserve">Will it worsen water pollution – especially during periods of drought with reduced dilution rates, increased temperatures and turbidity? </w:t>
      </w:r>
    </w:p>
    <w:p w14:paraId="63E6BAF8" w14:textId="77777777"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Will it change the vulnerability of landscapes or woodlands to wild fires? </w:t>
      </w:r>
    </w:p>
    <w:p w14:paraId="19CB2C16" w14:textId="2266FC38"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Is the proposed project located in an area vulnerable to wildfires? </w:t>
      </w:r>
    </w:p>
    <w:p w14:paraId="76FD2CAC" w14:textId="0C41A6FD" w:rsidR="00D76E00" w:rsidRPr="00AC42A1" w:rsidRDefault="00D76E00" w:rsidP="00D76E00">
      <w:pPr>
        <w:pStyle w:val="ListParagraph"/>
        <w:numPr>
          <w:ilvl w:val="0"/>
          <w:numId w:val="7"/>
        </w:numPr>
        <w:shd w:val="clear" w:color="auto" w:fill="FFFFFF"/>
        <w:spacing w:before="100" w:beforeAutospacing="1" w:after="100" w:afterAutospacing="1" w:line="360" w:lineRule="auto"/>
        <w:jc w:val="both"/>
        <w:rPr>
          <w:rFonts w:ascii="Palatino Linotype" w:hAnsi="Palatino Linotype" w:cstheme="minorHAnsi"/>
          <w:sz w:val="24"/>
          <w:szCs w:val="24"/>
        </w:rPr>
      </w:pPr>
      <w:r w:rsidRPr="00AC42A1">
        <w:rPr>
          <w:rFonts w:ascii="Palatino Linotype" w:hAnsi="Palatino Linotype"/>
          <w:sz w:val="24"/>
          <w:szCs w:val="24"/>
        </w:rPr>
        <w:t>Can the materials used during construction withstand higher temperatures?</w:t>
      </w:r>
    </w:p>
    <w:p w14:paraId="4DAFE9E3" w14:textId="72E7B57B" w:rsidR="00D76E00" w:rsidRPr="00AC42A1" w:rsidRDefault="00D76E00" w:rsidP="00D76E00">
      <w:pPr>
        <w:shd w:val="clear" w:color="auto" w:fill="FFFFFF"/>
        <w:spacing w:before="100" w:beforeAutospacing="1" w:after="100" w:afterAutospacing="1" w:line="360" w:lineRule="auto"/>
        <w:jc w:val="both"/>
        <w:rPr>
          <w:rFonts w:ascii="Palatino Linotype" w:hAnsi="Palatino Linotype" w:cstheme="minorHAnsi"/>
          <w:b/>
          <w:sz w:val="24"/>
          <w:szCs w:val="24"/>
        </w:rPr>
      </w:pPr>
      <w:r w:rsidRPr="00AC42A1">
        <w:rPr>
          <w:rFonts w:ascii="Palatino Linotype" w:hAnsi="Palatino Linotype" w:cstheme="minorHAnsi"/>
          <w:b/>
          <w:sz w:val="24"/>
          <w:szCs w:val="24"/>
        </w:rPr>
        <w:t xml:space="preserve">If the infrastructure will not affect current conditions or will have a zero effect on current conditions mark “low” in the table. </w:t>
      </w:r>
    </w:p>
    <w:p w14:paraId="3E2A3701" w14:textId="575491B7" w:rsidR="00D76E00" w:rsidRPr="00AC42A1" w:rsidRDefault="00D76E00" w:rsidP="00D76E00">
      <w:pPr>
        <w:shd w:val="clear" w:color="auto" w:fill="FFFFFF"/>
        <w:spacing w:before="100" w:beforeAutospacing="1" w:after="100" w:afterAutospacing="1" w:line="360" w:lineRule="auto"/>
        <w:jc w:val="both"/>
        <w:rPr>
          <w:rFonts w:ascii="Palatino Linotype" w:hAnsi="Palatino Linotype" w:cstheme="minorHAnsi"/>
          <w:b/>
          <w:sz w:val="24"/>
          <w:szCs w:val="24"/>
        </w:rPr>
      </w:pPr>
      <w:r w:rsidRPr="00AC42A1">
        <w:rPr>
          <w:rFonts w:ascii="Palatino Linotype" w:hAnsi="Palatino Linotype" w:cstheme="minorHAnsi"/>
          <w:b/>
          <w:sz w:val="24"/>
          <w:szCs w:val="24"/>
        </w:rPr>
        <w:t>Summarized result of the first three step must be displaced at this table:</w:t>
      </w:r>
    </w:p>
    <w:tbl>
      <w:tblPr>
        <w:tblStyle w:val="TableGrid"/>
        <w:tblW w:w="10207" w:type="dxa"/>
        <w:tblInd w:w="-289" w:type="dxa"/>
        <w:tblLook w:val="04A0" w:firstRow="1" w:lastRow="0" w:firstColumn="1" w:lastColumn="0" w:noHBand="0" w:noVBand="1"/>
      </w:tblPr>
      <w:tblGrid>
        <w:gridCol w:w="3299"/>
        <w:gridCol w:w="2223"/>
        <w:gridCol w:w="2492"/>
        <w:gridCol w:w="2193"/>
      </w:tblGrid>
      <w:tr w:rsidR="00D76E00" w:rsidRPr="00AC42A1" w14:paraId="39317BDA" w14:textId="77777777" w:rsidTr="00D76E00">
        <w:tc>
          <w:tcPr>
            <w:tcW w:w="10207" w:type="dxa"/>
            <w:gridSpan w:val="4"/>
          </w:tcPr>
          <w:p w14:paraId="53EFFFB4"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rPr>
              <w:t>EXPOSURE ANALYSIS</w:t>
            </w:r>
          </w:p>
        </w:tc>
      </w:tr>
      <w:tr w:rsidR="00D76E00" w:rsidRPr="00AC42A1" w14:paraId="300C377B" w14:textId="77777777" w:rsidTr="00D76E00">
        <w:tc>
          <w:tcPr>
            <w:tcW w:w="3299" w:type="dxa"/>
          </w:tcPr>
          <w:p w14:paraId="3A691D68"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Current climate</w:t>
            </w:r>
          </w:p>
        </w:tc>
        <w:tc>
          <w:tcPr>
            <w:tcW w:w="2223" w:type="dxa"/>
            <w:shd w:val="clear" w:color="auto" w:fill="FF0000"/>
          </w:tcPr>
          <w:p w14:paraId="6D99F5FF"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High</w:t>
            </w:r>
          </w:p>
        </w:tc>
        <w:tc>
          <w:tcPr>
            <w:tcW w:w="2492" w:type="dxa"/>
            <w:shd w:val="clear" w:color="auto" w:fill="FFD966" w:themeFill="accent4" w:themeFillTint="99"/>
          </w:tcPr>
          <w:p w14:paraId="467F21F6"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Medium </w:t>
            </w:r>
          </w:p>
        </w:tc>
        <w:tc>
          <w:tcPr>
            <w:tcW w:w="2193" w:type="dxa"/>
            <w:shd w:val="clear" w:color="auto" w:fill="92D050"/>
          </w:tcPr>
          <w:p w14:paraId="1646AA9E"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D76E00" w:rsidRPr="00AC42A1" w14:paraId="1C4E9DA7" w14:textId="77777777" w:rsidTr="00D76E00">
        <w:tc>
          <w:tcPr>
            <w:tcW w:w="3299" w:type="dxa"/>
          </w:tcPr>
          <w:p w14:paraId="5FB9397B"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Future climate</w:t>
            </w:r>
          </w:p>
        </w:tc>
        <w:tc>
          <w:tcPr>
            <w:tcW w:w="2223" w:type="dxa"/>
            <w:shd w:val="clear" w:color="auto" w:fill="FF0000"/>
          </w:tcPr>
          <w:p w14:paraId="5FDF0EAE"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2492" w:type="dxa"/>
            <w:shd w:val="clear" w:color="auto" w:fill="FFD966" w:themeFill="accent4" w:themeFillTint="99"/>
          </w:tcPr>
          <w:p w14:paraId="0B4311BD"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Medium </w:t>
            </w:r>
          </w:p>
        </w:tc>
        <w:tc>
          <w:tcPr>
            <w:tcW w:w="2193" w:type="dxa"/>
            <w:shd w:val="clear" w:color="auto" w:fill="92D050"/>
          </w:tcPr>
          <w:p w14:paraId="270C420C"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D76E00" w:rsidRPr="00AC42A1" w14:paraId="07E69525" w14:textId="77777777" w:rsidTr="00D76E00">
        <w:tc>
          <w:tcPr>
            <w:tcW w:w="3299" w:type="dxa"/>
          </w:tcPr>
          <w:p w14:paraId="0F02DA99"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Current + Future</w:t>
            </w:r>
          </w:p>
        </w:tc>
        <w:tc>
          <w:tcPr>
            <w:tcW w:w="2223" w:type="dxa"/>
            <w:shd w:val="clear" w:color="auto" w:fill="FF0000"/>
          </w:tcPr>
          <w:p w14:paraId="7B88EBA2"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2492" w:type="dxa"/>
            <w:shd w:val="clear" w:color="auto" w:fill="FFD966" w:themeFill="accent4" w:themeFillTint="99"/>
          </w:tcPr>
          <w:p w14:paraId="4EC48DB4"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Medium </w:t>
            </w:r>
          </w:p>
        </w:tc>
        <w:tc>
          <w:tcPr>
            <w:tcW w:w="2193" w:type="dxa"/>
            <w:shd w:val="clear" w:color="auto" w:fill="92D050"/>
          </w:tcPr>
          <w:p w14:paraId="657D02F0" w14:textId="77777777" w:rsidR="00D76E00" w:rsidRPr="00AC42A1" w:rsidRDefault="00D76E00" w:rsidP="005D0D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D76E00" w:rsidRPr="00AC42A1" w14:paraId="424EB61C" w14:textId="77777777" w:rsidTr="00D76E00">
        <w:tc>
          <w:tcPr>
            <w:tcW w:w="8014" w:type="dxa"/>
            <w:gridSpan w:val="3"/>
          </w:tcPr>
          <w:p w14:paraId="33F46BC2" w14:textId="77777777" w:rsidR="00D76E00" w:rsidRPr="00AC42A1" w:rsidRDefault="00D76E00" w:rsidP="005D0D34">
            <w:pPr>
              <w:rPr>
                <w:rFonts w:ascii="Palatino Linotype" w:hAnsi="Palatino Linotype"/>
                <w:sz w:val="24"/>
                <w:szCs w:val="24"/>
              </w:rPr>
            </w:pPr>
            <w:r w:rsidRPr="00AC42A1">
              <w:rPr>
                <w:rFonts w:ascii="Palatino Linotype" w:hAnsi="Palatino Linotype"/>
                <w:sz w:val="24"/>
                <w:szCs w:val="24"/>
                <w:lang w:bidi="en-US"/>
              </w:rPr>
              <w:t xml:space="preserve">The output of the exposure analysis is based on the summarized results of the previous table.  The ranking must be done with consideration of the relevant climate variables and hazards for the selected location, investment type of the project, and current and future climate features of the area. </w:t>
            </w:r>
          </w:p>
        </w:tc>
        <w:tc>
          <w:tcPr>
            <w:tcW w:w="2193" w:type="dxa"/>
          </w:tcPr>
          <w:p w14:paraId="42D6B79C" w14:textId="77777777" w:rsidR="00D76E00" w:rsidRPr="00AC42A1" w:rsidRDefault="00D76E00" w:rsidP="005D0D34">
            <w:pPr>
              <w:rPr>
                <w:rFonts w:ascii="Palatino Linotype" w:hAnsi="Palatino Linotype"/>
                <w:sz w:val="24"/>
                <w:szCs w:val="24"/>
              </w:rPr>
            </w:pPr>
          </w:p>
        </w:tc>
      </w:tr>
    </w:tbl>
    <w:p w14:paraId="41AB0B7C" w14:textId="4638493F" w:rsidR="006B6E99" w:rsidRPr="00AC42A1" w:rsidRDefault="00D76E00" w:rsidP="00D76E00">
      <w:p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A score of ‘high’, ‘medium’ or ‘low’ should be given for each theme and climate hazard</w:t>
      </w:r>
      <w:r w:rsidR="006B6E99" w:rsidRPr="00AC42A1">
        <w:rPr>
          <w:rFonts w:ascii="Palatino Linotype" w:hAnsi="Palatino Linotype"/>
          <w:sz w:val="24"/>
          <w:szCs w:val="24"/>
        </w:rPr>
        <w:t xml:space="preserve"> and subsequently the result in the Exposure analysis section must correlate with previous findings.</w:t>
      </w:r>
    </w:p>
    <w:p w14:paraId="135E35D2" w14:textId="35F977E2" w:rsidR="006B6E99" w:rsidRPr="00AC42A1" w:rsidRDefault="006B6E99" w:rsidP="006B6E99">
      <w:p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t xml:space="preserve">For example: </w:t>
      </w:r>
    </w:p>
    <w:tbl>
      <w:tblPr>
        <w:tblStyle w:val="TableGrid"/>
        <w:tblW w:w="10879" w:type="dxa"/>
        <w:tblInd w:w="-431" w:type="dxa"/>
        <w:tblLayout w:type="fixed"/>
        <w:tblLook w:val="04A0" w:firstRow="1" w:lastRow="0" w:firstColumn="1" w:lastColumn="0" w:noHBand="0" w:noVBand="1"/>
      </w:tblPr>
      <w:tblGrid>
        <w:gridCol w:w="1135"/>
        <w:gridCol w:w="851"/>
        <w:gridCol w:w="992"/>
        <w:gridCol w:w="709"/>
        <w:gridCol w:w="708"/>
        <w:gridCol w:w="1134"/>
        <w:gridCol w:w="661"/>
        <w:gridCol w:w="660"/>
        <w:gridCol w:w="1059"/>
        <w:gridCol w:w="626"/>
        <w:gridCol w:w="669"/>
        <w:gridCol w:w="1059"/>
        <w:gridCol w:w="616"/>
      </w:tblGrid>
      <w:tr w:rsidR="000F1898" w:rsidRPr="00C40AA3" w14:paraId="2166B0E6" w14:textId="77777777" w:rsidTr="00C40AA3">
        <w:tc>
          <w:tcPr>
            <w:tcW w:w="1135" w:type="dxa"/>
          </w:tcPr>
          <w:p w14:paraId="41C4D0F2"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Flood </w:t>
            </w:r>
          </w:p>
        </w:tc>
        <w:tc>
          <w:tcPr>
            <w:tcW w:w="851" w:type="dxa"/>
            <w:shd w:val="clear" w:color="auto" w:fill="FF0000"/>
          </w:tcPr>
          <w:p w14:paraId="6B8CC7E6"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High</w:t>
            </w:r>
          </w:p>
          <w:p w14:paraId="3690B21A" w14:textId="12DDA384" w:rsidR="006B6E99" w:rsidRPr="00C40AA3" w:rsidRDefault="006B6E99" w:rsidP="005D0D34">
            <w:pPr>
              <w:rPr>
                <w:rFonts w:ascii="Palatino Linotype" w:hAnsi="Palatino Linotype" w:cstheme="minorHAnsi"/>
                <w:b/>
                <w:sz w:val="20"/>
                <w:szCs w:val="20"/>
              </w:rPr>
            </w:pPr>
            <w:r w:rsidRPr="00C40AA3">
              <w:rPr>
                <w:rFonts w:ascii="Segoe UI Symbol" w:hAnsi="Segoe UI Symbol" w:cs="Segoe UI Symbol"/>
                <w:b/>
                <w:sz w:val="20"/>
                <w:szCs w:val="20"/>
              </w:rPr>
              <w:t>✓</w:t>
            </w:r>
          </w:p>
        </w:tc>
        <w:tc>
          <w:tcPr>
            <w:tcW w:w="992" w:type="dxa"/>
            <w:shd w:val="clear" w:color="auto" w:fill="FFD966" w:themeFill="accent4" w:themeFillTint="99"/>
          </w:tcPr>
          <w:p w14:paraId="680D4F48" w14:textId="6C25353A"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709" w:type="dxa"/>
            <w:shd w:val="clear" w:color="auto" w:fill="92D050"/>
          </w:tcPr>
          <w:p w14:paraId="61A77411"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708" w:type="dxa"/>
            <w:shd w:val="clear" w:color="auto" w:fill="FF0000"/>
          </w:tcPr>
          <w:p w14:paraId="701C9421"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134" w:type="dxa"/>
            <w:shd w:val="clear" w:color="auto" w:fill="FFC000"/>
          </w:tcPr>
          <w:p w14:paraId="5DD53FF7"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 xml:space="preserve">Medium </w:t>
            </w:r>
          </w:p>
          <w:p w14:paraId="136B9BAB" w14:textId="5903CA3C" w:rsidR="005D0D34" w:rsidRPr="00C40AA3" w:rsidRDefault="005D0D34" w:rsidP="005D0D34">
            <w:pPr>
              <w:rPr>
                <w:rFonts w:ascii="Palatino Linotype" w:hAnsi="Palatino Linotype" w:cstheme="minorHAnsi"/>
                <w:b/>
                <w:sz w:val="20"/>
                <w:szCs w:val="20"/>
              </w:rPr>
            </w:pPr>
            <w:r w:rsidRPr="00C40AA3">
              <w:rPr>
                <w:rFonts w:ascii="Segoe UI Symbol" w:hAnsi="Segoe UI Symbol" w:cs="Segoe UI Symbol"/>
                <w:b/>
                <w:sz w:val="20"/>
                <w:szCs w:val="20"/>
              </w:rPr>
              <w:t>✓</w:t>
            </w:r>
          </w:p>
        </w:tc>
        <w:tc>
          <w:tcPr>
            <w:tcW w:w="661" w:type="dxa"/>
            <w:shd w:val="clear" w:color="auto" w:fill="92D050"/>
          </w:tcPr>
          <w:p w14:paraId="223FB555"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0" w:type="dxa"/>
            <w:shd w:val="clear" w:color="auto" w:fill="FF0000"/>
          </w:tcPr>
          <w:p w14:paraId="011C38ED"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50B10CB7" w14:textId="77777777" w:rsidR="005D0D34"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Medium</w:t>
            </w:r>
          </w:p>
          <w:p w14:paraId="32C094AB" w14:textId="3341B727" w:rsidR="006B6E99" w:rsidRPr="00C40AA3" w:rsidRDefault="005D0D34" w:rsidP="005D0D34">
            <w:pPr>
              <w:rPr>
                <w:rFonts w:ascii="Palatino Linotype" w:hAnsi="Palatino Linotype" w:cstheme="minorHAnsi"/>
                <w:b/>
                <w:sz w:val="20"/>
                <w:szCs w:val="20"/>
              </w:rPr>
            </w:pPr>
            <w:r w:rsidRPr="00C40AA3">
              <w:rPr>
                <w:rFonts w:ascii="Segoe UI Symbol" w:hAnsi="Segoe UI Symbol" w:cs="Segoe UI Symbol"/>
                <w:b/>
                <w:sz w:val="20"/>
                <w:szCs w:val="20"/>
              </w:rPr>
              <w:t>✓</w:t>
            </w:r>
            <w:r w:rsidR="006B6E99" w:rsidRPr="00C40AA3">
              <w:rPr>
                <w:rFonts w:ascii="Palatino Linotype" w:hAnsi="Palatino Linotype" w:cstheme="minorHAnsi"/>
                <w:b/>
                <w:sz w:val="20"/>
                <w:szCs w:val="20"/>
              </w:rPr>
              <w:t xml:space="preserve"> </w:t>
            </w:r>
          </w:p>
        </w:tc>
        <w:tc>
          <w:tcPr>
            <w:tcW w:w="626" w:type="dxa"/>
            <w:shd w:val="clear" w:color="auto" w:fill="92D050"/>
          </w:tcPr>
          <w:p w14:paraId="21144349"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 xml:space="preserve">Low </w:t>
            </w:r>
          </w:p>
        </w:tc>
        <w:tc>
          <w:tcPr>
            <w:tcW w:w="669" w:type="dxa"/>
            <w:shd w:val="clear" w:color="auto" w:fill="FF0000"/>
          </w:tcPr>
          <w:p w14:paraId="2165FA5C" w14:textId="77777777" w:rsidR="006B6E99"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High</w:t>
            </w:r>
          </w:p>
        </w:tc>
        <w:tc>
          <w:tcPr>
            <w:tcW w:w="1059" w:type="dxa"/>
            <w:shd w:val="clear" w:color="auto" w:fill="FFC000"/>
          </w:tcPr>
          <w:p w14:paraId="7ED886DC" w14:textId="77777777" w:rsidR="005D0D34" w:rsidRPr="00C40AA3" w:rsidRDefault="006B6E99" w:rsidP="005D0D34">
            <w:pPr>
              <w:rPr>
                <w:rFonts w:ascii="Palatino Linotype" w:hAnsi="Palatino Linotype" w:cstheme="minorHAnsi"/>
                <w:b/>
                <w:sz w:val="20"/>
                <w:szCs w:val="20"/>
              </w:rPr>
            </w:pPr>
            <w:r w:rsidRPr="00C40AA3">
              <w:rPr>
                <w:rFonts w:ascii="Palatino Linotype" w:hAnsi="Palatino Linotype" w:cstheme="minorHAnsi"/>
                <w:b/>
                <w:sz w:val="20"/>
                <w:szCs w:val="20"/>
              </w:rPr>
              <w:t>Medium</w:t>
            </w:r>
          </w:p>
          <w:p w14:paraId="60426B68" w14:textId="53BA8FA5" w:rsidR="006B6E99" w:rsidRPr="00C40AA3" w:rsidRDefault="005D0D34" w:rsidP="005D0D34">
            <w:pPr>
              <w:rPr>
                <w:rFonts w:ascii="Palatino Linotype" w:hAnsi="Palatino Linotype" w:cstheme="minorHAnsi"/>
                <w:b/>
                <w:sz w:val="20"/>
                <w:szCs w:val="20"/>
              </w:rPr>
            </w:pPr>
            <w:r w:rsidRPr="00C40AA3">
              <w:rPr>
                <w:rFonts w:ascii="Segoe UI Symbol" w:hAnsi="Segoe UI Symbol" w:cs="Segoe UI Symbol"/>
                <w:b/>
                <w:sz w:val="20"/>
                <w:szCs w:val="20"/>
              </w:rPr>
              <w:t>✓</w:t>
            </w:r>
            <w:r w:rsidR="006B6E99" w:rsidRPr="00C40AA3">
              <w:rPr>
                <w:rFonts w:ascii="Palatino Linotype" w:hAnsi="Palatino Linotype" w:cstheme="minorHAnsi"/>
                <w:b/>
                <w:sz w:val="20"/>
                <w:szCs w:val="20"/>
              </w:rPr>
              <w:t xml:space="preserve"> </w:t>
            </w:r>
          </w:p>
        </w:tc>
        <w:tc>
          <w:tcPr>
            <w:tcW w:w="616" w:type="dxa"/>
            <w:shd w:val="clear" w:color="auto" w:fill="92D050"/>
          </w:tcPr>
          <w:p w14:paraId="6F1F5E04"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0F1898" w:rsidRPr="00C40AA3" w14:paraId="5EF5B0C6" w14:textId="77777777" w:rsidTr="00C40AA3">
        <w:tc>
          <w:tcPr>
            <w:tcW w:w="1135" w:type="dxa"/>
          </w:tcPr>
          <w:p w14:paraId="7B9D1B54"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Heat/Forest fire</w:t>
            </w:r>
          </w:p>
        </w:tc>
        <w:tc>
          <w:tcPr>
            <w:tcW w:w="851" w:type="dxa"/>
            <w:shd w:val="clear" w:color="auto" w:fill="FF0000"/>
          </w:tcPr>
          <w:p w14:paraId="552E530F"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92" w:type="dxa"/>
            <w:shd w:val="clear" w:color="auto" w:fill="FFD966" w:themeFill="accent4" w:themeFillTint="99"/>
          </w:tcPr>
          <w:p w14:paraId="376564AC"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Medium</w:t>
            </w:r>
          </w:p>
          <w:p w14:paraId="6D3555DD" w14:textId="47D3E749"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709" w:type="dxa"/>
            <w:shd w:val="clear" w:color="auto" w:fill="92D050"/>
          </w:tcPr>
          <w:p w14:paraId="322C034F"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708" w:type="dxa"/>
            <w:shd w:val="clear" w:color="auto" w:fill="FF0000"/>
          </w:tcPr>
          <w:p w14:paraId="5D87C9A2"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134" w:type="dxa"/>
            <w:shd w:val="clear" w:color="auto" w:fill="FFC000"/>
          </w:tcPr>
          <w:p w14:paraId="2BB1B011"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p w14:paraId="3D4F472F" w14:textId="5ABC55F0" w:rsidR="005D0D34"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p>
        </w:tc>
        <w:tc>
          <w:tcPr>
            <w:tcW w:w="661" w:type="dxa"/>
            <w:shd w:val="clear" w:color="auto" w:fill="92D050"/>
          </w:tcPr>
          <w:p w14:paraId="256AAF2A"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0" w:type="dxa"/>
            <w:shd w:val="clear" w:color="auto" w:fill="FF0000"/>
          </w:tcPr>
          <w:p w14:paraId="08CEB6FA"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71EAA01F"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Medium</w:t>
            </w:r>
          </w:p>
          <w:p w14:paraId="7D4E4AB1" w14:textId="510DB97A"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626" w:type="dxa"/>
            <w:shd w:val="clear" w:color="auto" w:fill="92D050"/>
          </w:tcPr>
          <w:p w14:paraId="3F945925"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c>
          <w:tcPr>
            <w:tcW w:w="669" w:type="dxa"/>
            <w:shd w:val="clear" w:color="auto" w:fill="FF0000"/>
          </w:tcPr>
          <w:p w14:paraId="392CA933"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5F3723AC"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p w14:paraId="0163CB52" w14:textId="6160585F" w:rsidR="005D0D34"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p>
        </w:tc>
        <w:tc>
          <w:tcPr>
            <w:tcW w:w="616" w:type="dxa"/>
            <w:shd w:val="clear" w:color="auto" w:fill="92D050"/>
          </w:tcPr>
          <w:p w14:paraId="6C7BA855"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Low </w:t>
            </w:r>
          </w:p>
        </w:tc>
      </w:tr>
      <w:tr w:rsidR="000F1898" w:rsidRPr="00C40AA3" w14:paraId="7F43D89E" w14:textId="77777777" w:rsidTr="00C40AA3">
        <w:tc>
          <w:tcPr>
            <w:tcW w:w="1135" w:type="dxa"/>
          </w:tcPr>
          <w:p w14:paraId="128B96E4"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Drought</w:t>
            </w:r>
          </w:p>
        </w:tc>
        <w:tc>
          <w:tcPr>
            <w:tcW w:w="851" w:type="dxa"/>
            <w:shd w:val="clear" w:color="auto" w:fill="FF0000"/>
          </w:tcPr>
          <w:p w14:paraId="10285F14"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High </w:t>
            </w:r>
          </w:p>
        </w:tc>
        <w:tc>
          <w:tcPr>
            <w:tcW w:w="992" w:type="dxa"/>
            <w:shd w:val="clear" w:color="auto" w:fill="FFD966" w:themeFill="accent4" w:themeFillTint="99"/>
          </w:tcPr>
          <w:p w14:paraId="77D44938" w14:textId="1451934E"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709" w:type="dxa"/>
            <w:shd w:val="clear" w:color="auto" w:fill="92D050"/>
          </w:tcPr>
          <w:p w14:paraId="38B82E83"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2609EA13" w14:textId="0CDD2B10"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708" w:type="dxa"/>
            <w:shd w:val="clear" w:color="auto" w:fill="FF0000"/>
          </w:tcPr>
          <w:p w14:paraId="656590C6"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134" w:type="dxa"/>
            <w:shd w:val="clear" w:color="auto" w:fill="FFC000"/>
          </w:tcPr>
          <w:p w14:paraId="046FECC7"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61" w:type="dxa"/>
            <w:shd w:val="clear" w:color="auto" w:fill="92D050"/>
          </w:tcPr>
          <w:p w14:paraId="26AF6989"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54DB3089" w14:textId="32708184"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660" w:type="dxa"/>
            <w:shd w:val="clear" w:color="auto" w:fill="FF0000"/>
          </w:tcPr>
          <w:p w14:paraId="77E1D1FB"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2D417EB3"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26" w:type="dxa"/>
            <w:shd w:val="clear" w:color="auto" w:fill="92D050"/>
          </w:tcPr>
          <w:p w14:paraId="333F48CB"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44A65DE3" w14:textId="1DD86EDC"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c>
          <w:tcPr>
            <w:tcW w:w="669" w:type="dxa"/>
            <w:shd w:val="clear" w:color="auto" w:fill="FF0000"/>
          </w:tcPr>
          <w:p w14:paraId="3D6CA488"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High</w:t>
            </w:r>
          </w:p>
        </w:tc>
        <w:tc>
          <w:tcPr>
            <w:tcW w:w="1059" w:type="dxa"/>
            <w:shd w:val="clear" w:color="auto" w:fill="FFC000"/>
          </w:tcPr>
          <w:p w14:paraId="0BF0D1CC" w14:textId="77777777" w:rsidR="006B6E99"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 xml:space="preserve">Medium </w:t>
            </w:r>
          </w:p>
        </w:tc>
        <w:tc>
          <w:tcPr>
            <w:tcW w:w="616" w:type="dxa"/>
            <w:shd w:val="clear" w:color="auto" w:fill="92D050"/>
          </w:tcPr>
          <w:p w14:paraId="11415DCB" w14:textId="77777777" w:rsidR="005D0D34" w:rsidRPr="00C40AA3" w:rsidRDefault="006B6E99" w:rsidP="005D0D34">
            <w:pPr>
              <w:rPr>
                <w:rFonts w:ascii="Palatino Linotype" w:hAnsi="Palatino Linotype" w:cstheme="minorHAnsi"/>
                <w:sz w:val="20"/>
                <w:szCs w:val="20"/>
              </w:rPr>
            </w:pPr>
            <w:r w:rsidRPr="00C40AA3">
              <w:rPr>
                <w:rFonts w:ascii="Palatino Linotype" w:hAnsi="Palatino Linotype" w:cstheme="minorHAnsi"/>
                <w:sz w:val="20"/>
                <w:szCs w:val="20"/>
              </w:rPr>
              <w:t>Low</w:t>
            </w:r>
          </w:p>
          <w:p w14:paraId="30AD312A" w14:textId="13B7E2FB" w:rsidR="006B6E99" w:rsidRPr="00C40AA3" w:rsidRDefault="005D0D34" w:rsidP="005D0D34">
            <w:pPr>
              <w:rPr>
                <w:rFonts w:ascii="Palatino Linotype" w:hAnsi="Palatino Linotype" w:cstheme="minorHAnsi"/>
                <w:sz w:val="20"/>
                <w:szCs w:val="20"/>
              </w:rPr>
            </w:pPr>
            <w:r w:rsidRPr="00C40AA3">
              <w:rPr>
                <w:rFonts w:ascii="Segoe UI Symbol" w:hAnsi="Segoe UI Symbol" w:cs="Segoe UI Symbol"/>
                <w:sz w:val="20"/>
                <w:szCs w:val="20"/>
              </w:rPr>
              <w:t>✓</w:t>
            </w:r>
            <w:r w:rsidR="006B6E99" w:rsidRPr="00C40AA3">
              <w:rPr>
                <w:rFonts w:ascii="Palatino Linotype" w:hAnsi="Palatino Linotype" w:cstheme="minorHAnsi"/>
                <w:sz w:val="20"/>
                <w:szCs w:val="20"/>
              </w:rPr>
              <w:t xml:space="preserve"> </w:t>
            </w:r>
          </w:p>
        </w:tc>
      </w:tr>
    </w:tbl>
    <w:p w14:paraId="3E78F7BD" w14:textId="6BC55417" w:rsidR="006B6E99" w:rsidRPr="00AC42A1" w:rsidRDefault="005D0D34" w:rsidP="00D76E00">
      <w:pPr>
        <w:shd w:val="clear" w:color="auto" w:fill="FFFFFF"/>
        <w:spacing w:before="100" w:beforeAutospacing="1" w:after="100" w:afterAutospacing="1" w:line="360" w:lineRule="auto"/>
        <w:jc w:val="both"/>
        <w:rPr>
          <w:rFonts w:ascii="Palatino Linotype" w:hAnsi="Palatino Linotype"/>
          <w:sz w:val="24"/>
          <w:szCs w:val="24"/>
        </w:rPr>
      </w:pPr>
      <w:r w:rsidRPr="00AC42A1">
        <w:rPr>
          <w:rFonts w:ascii="Palatino Linotype" w:hAnsi="Palatino Linotype"/>
          <w:sz w:val="24"/>
          <w:szCs w:val="24"/>
        </w:rPr>
        <w:lastRenderedPageBreak/>
        <w:t>This result put you project on “medium” as overall result: the climate hazard may have a slight impact on assets and processes, inputs, outputs and transport links</w:t>
      </w:r>
    </w:p>
    <w:p w14:paraId="0C37E806" w14:textId="3D2C7788" w:rsidR="005D0D34" w:rsidRPr="00AC42A1" w:rsidRDefault="00C40AA3" w:rsidP="00D76E00">
      <w:pPr>
        <w:shd w:val="clear" w:color="auto" w:fill="FFFFFF"/>
        <w:spacing w:before="100" w:beforeAutospacing="1" w:after="100" w:afterAutospacing="1" w:line="360" w:lineRule="auto"/>
        <w:jc w:val="both"/>
        <w:rPr>
          <w:rFonts w:ascii="Palatino Linotype" w:hAnsi="Palatino Linotype"/>
          <w:sz w:val="24"/>
          <w:szCs w:val="24"/>
        </w:rPr>
      </w:pPr>
      <w:r>
        <w:rPr>
          <w:rFonts w:ascii="Palatino Linotype" w:hAnsi="Palatino Linotype"/>
          <w:sz w:val="24"/>
          <w:szCs w:val="24"/>
        </w:rPr>
        <w:t>You don’t need to</w:t>
      </w:r>
      <w:r w:rsidR="005D0D34" w:rsidRPr="00AC42A1">
        <w:rPr>
          <w:rFonts w:ascii="Palatino Linotype" w:hAnsi="Palatino Linotype"/>
          <w:sz w:val="24"/>
          <w:szCs w:val="24"/>
        </w:rPr>
        <w:t xml:space="preserve"> check “medium” in the “EXPOSURE ANALYSIS” section </w:t>
      </w:r>
      <w:r>
        <w:rPr>
          <w:rFonts w:ascii="Palatino Linotype" w:hAnsi="Palatino Linotype"/>
          <w:sz w:val="24"/>
          <w:szCs w:val="24"/>
        </w:rPr>
        <w:t xml:space="preserve">because your result will be automatically displayed by the formulas in the Annex. </w:t>
      </w:r>
      <w:r w:rsidR="005D0D34" w:rsidRPr="00AC42A1">
        <w:rPr>
          <w:rFonts w:ascii="Palatino Linotype" w:hAnsi="Palatino Linotype"/>
          <w:sz w:val="24"/>
          <w:szCs w:val="24"/>
        </w:rPr>
        <w:t xml:space="preserve">“ </w:t>
      </w:r>
    </w:p>
    <w:tbl>
      <w:tblPr>
        <w:tblStyle w:val="TableGrid"/>
        <w:tblW w:w="10207" w:type="dxa"/>
        <w:tblInd w:w="-289" w:type="dxa"/>
        <w:tblLook w:val="04A0" w:firstRow="1" w:lastRow="0" w:firstColumn="1" w:lastColumn="0" w:noHBand="0" w:noVBand="1"/>
      </w:tblPr>
      <w:tblGrid>
        <w:gridCol w:w="1856"/>
        <w:gridCol w:w="1251"/>
        <w:gridCol w:w="1402"/>
        <w:gridCol w:w="1234"/>
        <w:gridCol w:w="1538"/>
        <w:gridCol w:w="1402"/>
        <w:gridCol w:w="1524"/>
      </w:tblGrid>
      <w:tr w:rsidR="000F1898" w:rsidRPr="00AC42A1" w14:paraId="211B5087" w14:textId="77777777" w:rsidTr="00AA0134">
        <w:tc>
          <w:tcPr>
            <w:tcW w:w="5743" w:type="dxa"/>
            <w:gridSpan w:val="4"/>
          </w:tcPr>
          <w:p w14:paraId="3E29D256"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rPr>
              <w:t>EXPOSURE ANALYSIS</w:t>
            </w:r>
          </w:p>
        </w:tc>
        <w:tc>
          <w:tcPr>
            <w:tcW w:w="4464" w:type="dxa"/>
            <w:gridSpan w:val="3"/>
          </w:tcPr>
          <w:p w14:paraId="6576FED6"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rPr>
              <w:t>VULNERABILITY ANALYSIS</w:t>
            </w:r>
          </w:p>
        </w:tc>
      </w:tr>
      <w:tr w:rsidR="000F1898" w:rsidRPr="00AC42A1" w14:paraId="47A665A2" w14:textId="77777777" w:rsidTr="00AA0134">
        <w:tc>
          <w:tcPr>
            <w:tcW w:w="1856" w:type="dxa"/>
          </w:tcPr>
          <w:p w14:paraId="2FED1D64"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lang w:bidi="en-US"/>
              </w:rPr>
              <w:t>Current climate</w:t>
            </w:r>
          </w:p>
        </w:tc>
        <w:tc>
          <w:tcPr>
            <w:tcW w:w="1251" w:type="dxa"/>
            <w:shd w:val="clear" w:color="auto" w:fill="FF0000"/>
          </w:tcPr>
          <w:p w14:paraId="368D50B5"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High</w:t>
            </w:r>
          </w:p>
        </w:tc>
        <w:tc>
          <w:tcPr>
            <w:tcW w:w="1402" w:type="dxa"/>
            <w:shd w:val="clear" w:color="auto" w:fill="FFD966" w:themeFill="accent4" w:themeFillTint="99"/>
          </w:tcPr>
          <w:p w14:paraId="665DFF40"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234" w:type="dxa"/>
            <w:shd w:val="clear" w:color="auto" w:fill="92D050"/>
          </w:tcPr>
          <w:p w14:paraId="3F162FBD"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c>
          <w:tcPr>
            <w:tcW w:w="1538" w:type="dxa"/>
            <w:shd w:val="clear" w:color="auto" w:fill="FF0000"/>
          </w:tcPr>
          <w:p w14:paraId="5132384E"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High</w:t>
            </w:r>
          </w:p>
        </w:tc>
        <w:tc>
          <w:tcPr>
            <w:tcW w:w="1402" w:type="dxa"/>
            <w:shd w:val="clear" w:color="auto" w:fill="FFD966" w:themeFill="accent4" w:themeFillTint="99"/>
          </w:tcPr>
          <w:p w14:paraId="0EA6EF97"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524" w:type="dxa"/>
            <w:shd w:val="clear" w:color="auto" w:fill="92D050"/>
          </w:tcPr>
          <w:p w14:paraId="354232DF"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0F1898" w:rsidRPr="00AC42A1" w14:paraId="2D06D9EA" w14:textId="77777777" w:rsidTr="00AA0134">
        <w:tc>
          <w:tcPr>
            <w:tcW w:w="1856" w:type="dxa"/>
          </w:tcPr>
          <w:p w14:paraId="5595E2C6"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lang w:bidi="en-US"/>
              </w:rPr>
              <w:t>Future climate</w:t>
            </w:r>
          </w:p>
        </w:tc>
        <w:tc>
          <w:tcPr>
            <w:tcW w:w="1251" w:type="dxa"/>
            <w:shd w:val="clear" w:color="auto" w:fill="FF0000"/>
          </w:tcPr>
          <w:p w14:paraId="7229A77C"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430B2CEB"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234" w:type="dxa"/>
            <w:shd w:val="clear" w:color="auto" w:fill="92D050"/>
          </w:tcPr>
          <w:p w14:paraId="1EC70A5D"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c>
          <w:tcPr>
            <w:tcW w:w="1538" w:type="dxa"/>
            <w:shd w:val="clear" w:color="auto" w:fill="FF0000"/>
          </w:tcPr>
          <w:p w14:paraId="54E56734"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7FB5126C"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524" w:type="dxa"/>
            <w:shd w:val="clear" w:color="auto" w:fill="92D050"/>
          </w:tcPr>
          <w:p w14:paraId="6090C5F3"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r w:rsidR="000F1898" w:rsidRPr="00AC42A1" w14:paraId="1C35D243" w14:textId="77777777" w:rsidTr="00AA0134">
        <w:tc>
          <w:tcPr>
            <w:tcW w:w="1856" w:type="dxa"/>
          </w:tcPr>
          <w:p w14:paraId="7AE2A94A" w14:textId="77777777" w:rsidR="000F1898" w:rsidRPr="00AC42A1" w:rsidRDefault="000F1898" w:rsidP="00AA0134">
            <w:pPr>
              <w:rPr>
                <w:rFonts w:ascii="Palatino Linotype" w:hAnsi="Palatino Linotype"/>
                <w:sz w:val="24"/>
                <w:szCs w:val="24"/>
              </w:rPr>
            </w:pPr>
            <w:r w:rsidRPr="00AC42A1">
              <w:rPr>
                <w:rFonts w:ascii="Palatino Linotype" w:hAnsi="Palatino Linotype"/>
                <w:sz w:val="24"/>
                <w:szCs w:val="24"/>
                <w:lang w:bidi="en-US"/>
              </w:rPr>
              <w:t>Current + Future</w:t>
            </w:r>
          </w:p>
        </w:tc>
        <w:tc>
          <w:tcPr>
            <w:tcW w:w="1251" w:type="dxa"/>
            <w:shd w:val="clear" w:color="auto" w:fill="FF0000"/>
          </w:tcPr>
          <w:p w14:paraId="6485806E"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709CE23C"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234" w:type="dxa"/>
            <w:shd w:val="clear" w:color="auto" w:fill="92D050"/>
          </w:tcPr>
          <w:p w14:paraId="4DA015AD"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c>
          <w:tcPr>
            <w:tcW w:w="1538" w:type="dxa"/>
            <w:shd w:val="clear" w:color="auto" w:fill="FF0000"/>
          </w:tcPr>
          <w:p w14:paraId="116C6DAF"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High </w:t>
            </w:r>
          </w:p>
        </w:tc>
        <w:tc>
          <w:tcPr>
            <w:tcW w:w="1402" w:type="dxa"/>
            <w:shd w:val="clear" w:color="auto" w:fill="FFD966" w:themeFill="accent4" w:themeFillTint="99"/>
          </w:tcPr>
          <w:p w14:paraId="07B89244" w14:textId="77777777" w:rsidR="000F1898" w:rsidRPr="00AC42A1" w:rsidRDefault="000F1898" w:rsidP="00AA0134">
            <w:pPr>
              <w:rPr>
                <w:rFonts w:ascii="Palatino Linotype" w:hAnsi="Palatino Linotype" w:cstheme="minorHAnsi"/>
                <w:b/>
                <w:sz w:val="24"/>
                <w:szCs w:val="24"/>
                <w:u w:val="single"/>
              </w:rPr>
            </w:pPr>
            <w:r w:rsidRPr="00AC42A1">
              <w:rPr>
                <w:rFonts w:ascii="Palatino Linotype" w:hAnsi="Palatino Linotype" w:cstheme="minorHAnsi"/>
                <w:b/>
                <w:sz w:val="24"/>
                <w:szCs w:val="24"/>
                <w:u w:val="single"/>
              </w:rPr>
              <w:t xml:space="preserve">Medium </w:t>
            </w:r>
          </w:p>
        </w:tc>
        <w:tc>
          <w:tcPr>
            <w:tcW w:w="1524" w:type="dxa"/>
            <w:shd w:val="clear" w:color="auto" w:fill="92D050"/>
          </w:tcPr>
          <w:p w14:paraId="4ECFFD50" w14:textId="77777777" w:rsidR="000F1898" w:rsidRPr="00AC42A1" w:rsidRDefault="000F1898" w:rsidP="00AA0134">
            <w:pPr>
              <w:rPr>
                <w:rFonts w:ascii="Palatino Linotype" w:hAnsi="Palatino Linotype" w:cstheme="minorHAnsi"/>
                <w:sz w:val="24"/>
                <w:szCs w:val="24"/>
              </w:rPr>
            </w:pPr>
            <w:r w:rsidRPr="00AC42A1">
              <w:rPr>
                <w:rFonts w:ascii="Palatino Linotype" w:hAnsi="Palatino Linotype" w:cstheme="minorHAnsi"/>
                <w:sz w:val="24"/>
                <w:szCs w:val="24"/>
              </w:rPr>
              <w:t xml:space="preserve">Low </w:t>
            </w:r>
          </w:p>
        </w:tc>
      </w:tr>
    </w:tbl>
    <w:p w14:paraId="77928178" w14:textId="77777777" w:rsidR="00C40AA3" w:rsidRDefault="00C40AA3" w:rsidP="00B604E8">
      <w:pPr>
        <w:rPr>
          <w:rFonts w:ascii="Palatino Linotype" w:hAnsi="Palatino Linotype"/>
          <w:sz w:val="24"/>
          <w:szCs w:val="24"/>
        </w:rPr>
      </w:pPr>
    </w:p>
    <w:p w14:paraId="56D953F7" w14:textId="09B69987" w:rsidR="00C40AA3" w:rsidRDefault="00C40AA3" w:rsidP="00B604E8">
      <w:pPr>
        <w:rPr>
          <w:rFonts w:ascii="Palatino Linotype" w:hAnsi="Palatino Linotype"/>
          <w:sz w:val="24"/>
          <w:szCs w:val="24"/>
        </w:rPr>
      </w:pPr>
      <w:r>
        <w:rPr>
          <w:rFonts w:ascii="Palatino Linotype" w:hAnsi="Palatino Linotype"/>
          <w:sz w:val="24"/>
          <w:szCs w:val="24"/>
        </w:rPr>
        <w:t>You don’t need to</w:t>
      </w:r>
      <w:r w:rsidRPr="00AC42A1">
        <w:rPr>
          <w:rFonts w:ascii="Palatino Linotype" w:hAnsi="Palatino Linotype"/>
          <w:sz w:val="24"/>
          <w:szCs w:val="24"/>
        </w:rPr>
        <w:t xml:space="preserve"> check “medium” in the “VULNERABILITY ANALYSIS” section</w:t>
      </w:r>
      <w:r>
        <w:rPr>
          <w:rFonts w:ascii="Palatino Linotype" w:hAnsi="Palatino Linotype"/>
          <w:sz w:val="24"/>
          <w:szCs w:val="24"/>
        </w:rPr>
        <w:t xml:space="preserve"> </w:t>
      </w:r>
      <w:r>
        <w:rPr>
          <w:rFonts w:ascii="Palatino Linotype" w:hAnsi="Palatino Linotype"/>
          <w:sz w:val="24"/>
          <w:szCs w:val="24"/>
        </w:rPr>
        <w:t>because your result will be automatically displayed by the formulas in the Annex.</w:t>
      </w:r>
    </w:p>
    <w:p w14:paraId="2E9B82D7" w14:textId="431CC690" w:rsidR="00B604E8" w:rsidRPr="00AC42A1" w:rsidRDefault="005D0D34" w:rsidP="00B604E8">
      <w:pPr>
        <w:rPr>
          <w:rFonts w:ascii="Palatino Linotype" w:hAnsi="Palatino Linotype"/>
          <w:b/>
          <w:i/>
          <w:sz w:val="24"/>
          <w:szCs w:val="24"/>
        </w:rPr>
      </w:pPr>
      <w:r w:rsidRPr="00AC42A1">
        <w:rPr>
          <w:rFonts w:ascii="Palatino Linotype" w:hAnsi="Palatino Linotype"/>
          <w:sz w:val="24"/>
          <w:szCs w:val="24"/>
        </w:rPr>
        <w:t xml:space="preserve">If your score at “EXPOSURE ANALYSIS” section </w:t>
      </w:r>
      <w:r w:rsidR="00C40AA3">
        <w:rPr>
          <w:rFonts w:ascii="Palatino Linotype" w:hAnsi="Palatino Linotype"/>
          <w:sz w:val="24"/>
          <w:szCs w:val="24"/>
        </w:rPr>
        <w:t>or</w:t>
      </w:r>
      <w:r w:rsidRPr="00AC42A1">
        <w:rPr>
          <w:rFonts w:ascii="Palatino Linotype" w:hAnsi="Palatino Linotype"/>
          <w:sz w:val="24"/>
          <w:szCs w:val="24"/>
        </w:rPr>
        <w:t xml:space="preserve"> VULNERABILITY ANALYSIS” section</w:t>
      </w:r>
      <w:r w:rsidR="00C40AA3">
        <w:rPr>
          <w:rFonts w:ascii="Palatino Linotype" w:hAnsi="Palatino Linotype"/>
          <w:sz w:val="24"/>
          <w:szCs w:val="24"/>
        </w:rPr>
        <w:t xml:space="preserve"> is </w:t>
      </w:r>
      <w:r w:rsidR="00C40AA3" w:rsidRPr="00AC42A1">
        <w:rPr>
          <w:rFonts w:ascii="Palatino Linotype" w:hAnsi="Palatino Linotype"/>
          <w:sz w:val="24"/>
          <w:szCs w:val="24"/>
        </w:rPr>
        <w:t>“medium”</w:t>
      </w:r>
      <w:r w:rsidR="00C40AA3">
        <w:rPr>
          <w:rFonts w:ascii="Palatino Linotype" w:hAnsi="Palatino Linotype"/>
          <w:sz w:val="24"/>
          <w:szCs w:val="24"/>
        </w:rPr>
        <w:t xml:space="preserve"> or “high”</w:t>
      </w:r>
      <w:r w:rsidRPr="00AC42A1">
        <w:rPr>
          <w:rFonts w:ascii="Palatino Linotype" w:hAnsi="Palatino Linotype"/>
          <w:sz w:val="24"/>
          <w:szCs w:val="24"/>
        </w:rPr>
        <w:t xml:space="preserve">, you must proceed </w:t>
      </w:r>
      <w:r w:rsidR="00B604E8" w:rsidRPr="00AC42A1">
        <w:rPr>
          <w:rFonts w:ascii="Palatino Linotype" w:hAnsi="Palatino Linotype"/>
          <w:sz w:val="24"/>
          <w:szCs w:val="24"/>
        </w:rPr>
        <w:t>with</w:t>
      </w:r>
      <w:r w:rsidR="00B604E8" w:rsidRPr="00AC42A1">
        <w:rPr>
          <w:rFonts w:ascii="Palatino Linotype" w:hAnsi="Palatino Linotype"/>
          <w:sz w:val="24"/>
          <w:szCs w:val="24"/>
          <w:lang w:val="bg-BG"/>
        </w:rPr>
        <w:t xml:space="preserve"> </w:t>
      </w:r>
      <w:r w:rsidR="00B604E8" w:rsidRPr="00AC42A1">
        <w:rPr>
          <w:rFonts w:ascii="Palatino Linotype" w:hAnsi="Palatino Linotype"/>
          <w:b/>
          <w:i/>
          <w:sz w:val="24"/>
          <w:szCs w:val="24"/>
        </w:rPr>
        <w:t xml:space="preserve">Phase 2 of the </w:t>
      </w:r>
      <w:r w:rsidR="00C40AA3">
        <w:rPr>
          <w:rFonts w:ascii="Palatino Linotype" w:hAnsi="Palatino Linotype"/>
          <w:b/>
          <w:i/>
          <w:sz w:val="24"/>
          <w:szCs w:val="24"/>
        </w:rPr>
        <w:t>Annex A6 – S</w:t>
      </w:r>
      <w:bookmarkStart w:id="0" w:name="_GoBack"/>
      <w:bookmarkEnd w:id="0"/>
      <w:r w:rsidR="00C40AA3">
        <w:rPr>
          <w:rFonts w:ascii="Palatino Linotype" w:hAnsi="Palatino Linotype"/>
          <w:b/>
          <w:i/>
          <w:sz w:val="24"/>
          <w:szCs w:val="24"/>
        </w:rPr>
        <w:t xml:space="preserve">heet </w:t>
      </w:r>
      <w:proofErr w:type="gramStart"/>
      <w:r w:rsidR="00C40AA3">
        <w:rPr>
          <w:rFonts w:ascii="Palatino Linotype" w:hAnsi="Palatino Linotype"/>
          <w:b/>
          <w:i/>
          <w:sz w:val="24"/>
          <w:szCs w:val="24"/>
        </w:rPr>
        <w:t xml:space="preserve">2 </w:t>
      </w:r>
      <w:r w:rsidR="00B604E8" w:rsidRPr="00AC42A1">
        <w:rPr>
          <w:rFonts w:ascii="Palatino Linotype" w:hAnsi="Palatino Linotype"/>
          <w:b/>
          <w:i/>
          <w:sz w:val="24"/>
          <w:szCs w:val="24"/>
        </w:rPr>
        <w:t xml:space="preserve"> and</w:t>
      </w:r>
      <w:proofErr w:type="gramEnd"/>
      <w:r w:rsidR="00B604E8" w:rsidRPr="00AC42A1">
        <w:rPr>
          <w:rFonts w:ascii="Palatino Linotype" w:hAnsi="Palatino Linotype"/>
          <w:b/>
          <w:i/>
          <w:sz w:val="24"/>
          <w:szCs w:val="24"/>
        </w:rPr>
        <w:t xml:space="preserve"> prepare detail plan up to 30 pages. </w:t>
      </w:r>
    </w:p>
    <w:p w14:paraId="217DA68E" w14:textId="73FF9246" w:rsidR="005D0D34" w:rsidRPr="005F6297" w:rsidRDefault="005D0D34" w:rsidP="005D0D34">
      <w:pPr>
        <w:jc w:val="both"/>
        <w:rPr>
          <w:rFonts w:ascii="Palatino Linotype" w:hAnsi="Palatino Linotype"/>
          <w:sz w:val="24"/>
          <w:szCs w:val="24"/>
          <w:lang w:val="bg-BG"/>
        </w:rPr>
      </w:pPr>
    </w:p>
    <w:p w14:paraId="69DEF171" w14:textId="14B2BFA8" w:rsidR="000F1898" w:rsidRPr="005F6297" w:rsidRDefault="000F1898" w:rsidP="000F1898">
      <w:pPr>
        <w:pStyle w:val="Bodytext30"/>
        <w:shd w:val="clear" w:color="auto" w:fill="auto"/>
        <w:spacing w:after="0"/>
        <w:rPr>
          <w:rFonts w:ascii="Palatino Linotype" w:hAnsi="Palatino Linotype" w:cstheme="minorHAnsi"/>
          <w:i w:val="0"/>
          <w:color w:val="auto"/>
          <w:sz w:val="24"/>
          <w:szCs w:val="24"/>
          <w:u w:val="none"/>
          <w:lang w:bidi="en-US"/>
        </w:rPr>
      </w:pPr>
      <w:r w:rsidRPr="005F6297">
        <w:rPr>
          <w:rFonts w:ascii="Palatino Linotype" w:hAnsi="Palatino Linotype" w:cstheme="minorHAnsi"/>
          <w:i w:val="0"/>
          <w:color w:val="auto"/>
          <w:sz w:val="24"/>
          <w:szCs w:val="24"/>
          <w:u w:val="none"/>
          <w:lang w:bidi="en-US"/>
        </w:rPr>
        <w:t xml:space="preserve">Prepare risk assessment and adaptation plan using following options: </w:t>
      </w:r>
    </w:p>
    <w:p w14:paraId="28E17C2E" w14:textId="77777777" w:rsidR="000F1898" w:rsidRPr="005F6297" w:rsidRDefault="000F1898" w:rsidP="000F1898">
      <w:pPr>
        <w:rPr>
          <w:rFonts w:ascii="Palatino Linotype" w:hAnsi="Palatino Linotype"/>
          <w:sz w:val="24"/>
          <w:szCs w:val="24"/>
        </w:rPr>
      </w:pPr>
    </w:p>
    <w:p w14:paraId="6D65BB69"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 xml:space="preserve">Identify options responding to the risks (use </w:t>
      </w:r>
      <w:proofErr w:type="spellStart"/>
      <w:r w:rsidRPr="005F6297">
        <w:rPr>
          <w:rFonts w:ascii="Palatino Linotype" w:hAnsi="Palatino Linotype"/>
          <w:sz w:val="24"/>
          <w:szCs w:val="24"/>
        </w:rPr>
        <w:t>e.g</w:t>
      </w:r>
      <w:proofErr w:type="spellEnd"/>
      <w:r w:rsidRPr="005F6297">
        <w:rPr>
          <w:rFonts w:ascii="Palatino Linotype" w:hAnsi="Palatino Linotype"/>
          <w:sz w:val="24"/>
          <w:szCs w:val="24"/>
        </w:rPr>
        <w:t xml:space="preserve"> expert workshops, meetings, </w:t>
      </w:r>
      <w:proofErr w:type="gramStart"/>
      <w:r w:rsidRPr="005F6297">
        <w:rPr>
          <w:rFonts w:ascii="Palatino Linotype" w:hAnsi="Palatino Linotype"/>
          <w:sz w:val="24"/>
          <w:szCs w:val="24"/>
        </w:rPr>
        <w:t>evaluations,...</w:t>
      </w:r>
      <w:proofErr w:type="gramEnd"/>
      <w:r w:rsidRPr="005F6297">
        <w:rPr>
          <w:rFonts w:ascii="Palatino Linotype" w:hAnsi="Palatino Linotype"/>
          <w:sz w:val="24"/>
          <w:szCs w:val="24"/>
        </w:rPr>
        <w:t>)</w:t>
      </w:r>
    </w:p>
    <w:p w14:paraId="72D3AF04"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 xml:space="preserve">Adaptation may involve a mix of responses, e.g. financial resources, work power etc. </w:t>
      </w:r>
    </w:p>
    <w:p w14:paraId="3DEE20AB"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 xml:space="preserve">training, capacity building, </w:t>
      </w:r>
      <w:proofErr w:type="gramStart"/>
      <w:r w:rsidRPr="005F6297">
        <w:rPr>
          <w:rFonts w:ascii="Palatino Linotype" w:hAnsi="Palatino Linotype"/>
          <w:sz w:val="24"/>
          <w:szCs w:val="24"/>
        </w:rPr>
        <w:t>monitoring,...</w:t>
      </w:r>
      <w:proofErr w:type="gramEnd"/>
    </w:p>
    <w:p w14:paraId="73680F78"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 xml:space="preserve">use of best practices, </w:t>
      </w:r>
      <w:proofErr w:type="gramStart"/>
      <w:r w:rsidRPr="005F6297">
        <w:rPr>
          <w:rFonts w:ascii="Palatino Linotype" w:hAnsi="Palatino Linotype"/>
          <w:sz w:val="24"/>
          <w:szCs w:val="24"/>
        </w:rPr>
        <w:t>standards,...</w:t>
      </w:r>
      <w:proofErr w:type="gramEnd"/>
    </w:p>
    <w:p w14:paraId="7A265624"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 xml:space="preserve">nature-based </w:t>
      </w:r>
      <w:proofErr w:type="gramStart"/>
      <w:r w:rsidRPr="005F6297">
        <w:rPr>
          <w:rFonts w:ascii="Palatino Linotype" w:hAnsi="Palatino Linotype"/>
          <w:sz w:val="24"/>
          <w:szCs w:val="24"/>
        </w:rPr>
        <w:t>solutions,...</w:t>
      </w:r>
      <w:proofErr w:type="gramEnd"/>
    </w:p>
    <w:p w14:paraId="2BC3A47B"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w:t>
      </w:r>
      <w:r w:rsidRPr="005F6297">
        <w:rPr>
          <w:rFonts w:ascii="Palatino Linotype" w:hAnsi="Palatino Linotype"/>
          <w:sz w:val="24"/>
          <w:szCs w:val="24"/>
        </w:rPr>
        <w:tab/>
        <w:t xml:space="preserve">engineering solutions, technical </w:t>
      </w:r>
      <w:proofErr w:type="gramStart"/>
      <w:r w:rsidRPr="005F6297">
        <w:rPr>
          <w:rFonts w:ascii="Palatino Linotype" w:hAnsi="Palatino Linotype"/>
          <w:sz w:val="24"/>
          <w:szCs w:val="24"/>
        </w:rPr>
        <w:t>design,...</w:t>
      </w:r>
      <w:proofErr w:type="gramEnd"/>
    </w:p>
    <w:p w14:paraId="0B89D0D6" w14:textId="77777777"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lastRenderedPageBreak/>
        <w:t>—</w:t>
      </w:r>
      <w:r w:rsidRPr="005F6297">
        <w:rPr>
          <w:rFonts w:ascii="Palatino Linotype" w:hAnsi="Palatino Linotype"/>
          <w:sz w:val="24"/>
          <w:szCs w:val="24"/>
        </w:rPr>
        <w:tab/>
        <w:t>risk management, insurance....</w:t>
      </w:r>
    </w:p>
    <w:p w14:paraId="411D6687" w14:textId="77777777" w:rsidR="000F1898" w:rsidRPr="005F6297" w:rsidRDefault="000F1898" w:rsidP="000F1898">
      <w:pPr>
        <w:jc w:val="both"/>
        <w:rPr>
          <w:rFonts w:ascii="Palatino Linotype" w:hAnsi="Palatino Linotype"/>
          <w:sz w:val="24"/>
          <w:szCs w:val="24"/>
        </w:rPr>
      </w:pPr>
      <w:r w:rsidRPr="005F6297">
        <w:rPr>
          <w:rFonts w:ascii="Palatino Linotype" w:hAnsi="Palatino Linotype"/>
          <w:sz w:val="24"/>
          <w:szCs w:val="24"/>
        </w:rPr>
        <w:t xml:space="preserve">The appraisal of adaptation options should give due regard to the specific circumstances and availability of data. In some </w:t>
      </w:r>
      <w:proofErr w:type="gramStart"/>
      <w:r w:rsidRPr="005F6297">
        <w:rPr>
          <w:rFonts w:ascii="Palatino Linotype" w:hAnsi="Palatino Linotype"/>
          <w:sz w:val="24"/>
          <w:szCs w:val="24"/>
        </w:rPr>
        <w:t>cases</w:t>
      </w:r>
      <w:proofErr w:type="gramEnd"/>
      <w:r w:rsidRPr="005F6297">
        <w:rPr>
          <w:rFonts w:ascii="Palatino Linotype" w:hAnsi="Palatino Linotype"/>
          <w:sz w:val="24"/>
          <w:szCs w:val="24"/>
        </w:rPr>
        <w:t xml:space="preserve"> a quick expert judgement may suffice whereas other cases may warrant a detailed cost-benefit analysis. It may be relevant to consider the robustness of various adaptation options vis-a-vis climate change uncertainties.</w:t>
      </w:r>
    </w:p>
    <w:p w14:paraId="1FF31925" w14:textId="286F593D" w:rsidR="000F1898" w:rsidRPr="005F6297" w:rsidRDefault="000F1898" w:rsidP="000F1898">
      <w:pPr>
        <w:jc w:val="both"/>
        <w:rPr>
          <w:rFonts w:ascii="Palatino Linotype" w:hAnsi="Palatino Linotype"/>
          <w:sz w:val="24"/>
          <w:szCs w:val="24"/>
        </w:rPr>
      </w:pPr>
      <w:r w:rsidRPr="005F6297">
        <w:rPr>
          <w:rFonts w:ascii="Palatino Linotype" w:hAnsi="Palatino Linotype"/>
          <w:sz w:val="24"/>
          <w:szCs w:val="24"/>
        </w:rPr>
        <w:t>Integrate relevant climate resilience measures into the technical project design and management options. Develop implementation plan, finance plan, plan for monitoring and response, plan for regular review of the assumptions and the climate vulnerability and risk assessment, and so on. The vulnerability and risk assessment and adaptation planning is aiming to reduce the remaining climate risks to an acceptable level.</w:t>
      </w:r>
    </w:p>
    <w:p w14:paraId="52BF3E65" w14:textId="1DF1FF3F" w:rsidR="000F1898" w:rsidRPr="005F6297" w:rsidRDefault="000F1898" w:rsidP="000F1898">
      <w:pPr>
        <w:rPr>
          <w:rFonts w:ascii="Palatino Linotype" w:hAnsi="Palatino Linotype"/>
          <w:sz w:val="24"/>
          <w:szCs w:val="24"/>
        </w:rPr>
      </w:pPr>
      <w:r w:rsidRPr="005F6297">
        <w:rPr>
          <w:rFonts w:ascii="Palatino Linotype" w:hAnsi="Palatino Linotype"/>
          <w:sz w:val="24"/>
          <w:szCs w:val="24"/>
        </w:rPr>
        <w:t>Full assessment must be done by following the Technical guidance on the climate proofing of infrastructure in the period 2021-2027 (2021/C 373/01)</w:t>
      </w:r>
    </w:p>
    <w:p w14:paraId="3D753145" w14:textId="235E0B29" w:rsidR="00D76E00" w:rsidRPr="005F6297" w:rsidRDefault="00D76E00" w:rsidP="000F1898">
      <w:pPr>
        <w:shd w:val="clear" w:color="auto" w:fill="FFFFFF"/>
        <w:spacing w:before="100" w:beforeAutospacing="1" w:after="100" w:afterAutospacing="1" w:line="360" w:lineRule="auto"/>
        <w:jc w:val="both"/>
        <w:rPr>
          <w:rFonts w:ascii="Palatino Linotype" w:hAnsi="Palatino Linotype" w:cstheme="minorHAnsi"/>
          <w:b/>
          <w:sz w:val="24"/>
          <w:szCs w:val="24"/>
        </w:rPr>
      </w:pPr>
    </w:p>
    <w:sectPr w:rsidR="00D76E00" w:rsidRPr="005F6297">
      <w:headerReference w:type="defaul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4FAAB" w14:textId="77777777" w:rsidR="00B52454" w:rsidRDefault="00B52454" w:rsidP="00457513">
      <w:pPr>
        <w:spacing w:after="0" w:line="240" w:lineRule="auto"/>
      </w:pPr>
      <w:r>
        <w:separator/>
      </w:r>
    </w:p>
  </w:endnote>
  <w:endnote w:type="continuationSeparator" w:id="0">
    <w:p w14:paraId="4E66A66D" w14:textId="77777777" w:rsidR="00B52454" w:rsidRDefault="00B52454" w:rsidP="00457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83AA1" w14:textId="77777777" w:rsidR="00B52454" w:rsidRDefault="00B52454" w:rsidP="00457513">
      <w:pPr>
        <w:spacing w:after="0" w:line="240" w:lineRule="auto"/>
      </w:pPr>
      <w:r>
        <w:separator/>
      </w:r>
    </w:p>
  </w:footnote>
  <w:footnote w:type="continuationSeparator" w:id="0">
    <w:p w14:paraId="2422C22B" w14:textId="77777777" w:rsidR="00B52454" w:rsidRDefault="00B52454" w:rsidP="00457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1D651" w14:textId="138C0B0F" w:rsidR="00AC42A1" w:rsidRDefault="00AC42A1" w:rsidP="00AC42A1">
    <w:pPr>
      <w:pStyle w:val="Header"/>
      <w:ind w:left="-142"/>
    </w:pPr>
    <w:r>
      <w:rPr>
        <w:noProof/>
      </w:rPr>
      <w:drawing>
        <wp:inline distT="0" distB="0" distL="0" distR="0" wp14:anchorId="6EA7AF33" wp14:editId="31F92633">
          <wp:extent cx="2706919"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nterreg IPA BG MK 2021 2027 - blue.gif"/>
                  <pic:cNvPicPr/>
                </pic:nvPicPr>
                <pic:blipFill>
                  <a:blip r:embed="rId1">
                    <a:extLst>
                      <a:ext uri="{28A0092B-C50C-407E-A947-70E740481C1C}">
                        <a14:useLocalDpi xmlns:a14="http://schemas.microsoft.com/office/drawing/2010/main" val="0"/>
                      </a:ext>
                    </a:extLst>
                  </a:blip>
                  <a:stretch>
                    <a:fillRect/>
                  </a:stretch>
                </pic:blipFill>
                <pic:spPr>
                  <a:xfrm>
                    <a:off x="0" y="0"/>
                    <a:ext cx="2718296" cy="688682"/>
                  </a:xfrm>
                  <a:prstGeom prst="rect">
                    <a:avLst/>
                  </a:prstGeom>
                </pic:spPr>
              </pic:pic>
            </a:graphicData>
          </a:graphic>
        </wp:inline>
      </w:drawing>
    </w:r>
  </w:p>
  <w:p w14:paraId="0DBDBC33" w14:textId="77777777" w:rsidR="00AC42A1" w:rsidRDefault="00AC4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1.25pt;height:11.25pt" o:bullet="t">
        <v:imagedata r:id="rId1" o:title="msoB0E"/>
      </v:shape>
    </w:pict>
  </w:numPicBullet>
  <w:abstractNum w:abstractNumId="0" w15:restartNumberingAfterBreak="0">
    <w:nsid w:val="06C01E12"/>
    <w:multiLevelType w:val="hybridMultilevel"/>
    <w:tmpl w:val="7EA6416E"/>
    <w:lvl w:ilvl="0" w:tplc="C378789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1853"/>
    <w:multiLevelType w:val="hybridMultilevel"/>
    <w:tmpl w:val="094637F0"/>
    <w:lvl w:ilvl="0" w:tplc="F92C9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644D8"/>
    <w:multiLevelType w:val="hybridMultilevel"/>
    <w:tmpl w:val="203C1EE2"/>
    <w:lvl w:ilvl="0" w:tplc="E5F814EC">
      <w:start w:val="3"/>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031A72"/>
    <w:multiLevelType w:val="multilevel"/>
    <w:tmpl w:val="7E72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C2A9B"/>
    <w:multiLevelType w:val="hybridMultilevel"/>
    <w:tmpl w:val="6B840F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0FE"/>
    <w:multiLevelType w:val="hybridMultilevel"/>
    <w:tmpl w:val="25E4F1C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FCC3A55"/>
    <w:multiLevelType w:val="hybridMultilevel"/>
    <w:tmpl w:val="ACAE1426"/>
    <w:lvl w:ilvl="0" w:tplc="04090007">
      <w:start w:val="1"/>
      <w:numFmt w:val="bullet"/>
      <w:lvlText w:val=""/>
      <w:lvlPicBulletId w:val="0"/>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6654C3D"/>
    <w:multiLevelType w:val="hybridMultilevel"/>
    <w:tmpl w:val="166ED8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8217BF"/>
    <w:multiLevelType w:val="multilevel"/>
    <w:tmpl w:val="7780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CE12AB"/>
    <w:multiLevelType w:val="hybridMultilevel"/>
    <w:tmpl w:val="4F4812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51A46"/>
    <w:multiLevelType w:val="hybridMultilevel"/>
    <w:tmpl w:val="4614C5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5"/>
  </w:num>
  <w:num w:numId="5">
    <w:abstractNumId w:val="6"/>
  </w:num>
  <w:num w:numId="6">
    <w:abstractNumId w:val="4"/>
  </w:num>
  <w:num w:numId="7">
    <w:abstractNumId w:val="7"/>
  </w:num>
  <w:num w:numId="8">
    <w:abstractNumId w:val="10"/>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593"/>
    <w:rsid w:val="00053BAB"/>
    <w:rsid w:val="000F1898"/>
    <w:rsid w:val="001C22A4"/>
    <w:rsid w:val="002D77E5"/>
    <w:rsid w:val="0034748A"/>
    <w:rsid w:val="00347CA3"/>
    <w:rsid w:val="00414DBE"/>
    <w:rsid w:val="00425631"/>
    <w:rsid w:val="00457513"/>
    <w:rsid w:val="00487A1D"/>
    <w:rsid w:val="005458D0"/>
    <w:rsid w:val="005D0D34"/>
    <w:rsid w:val="005D24F8"/>
    <w:rsid w:val="005F6297"/>
    <w:rsid w:val="006921FA"/>
    <w:rsid w:val="006A4A78"/>
    <w:rsid w:val="006B6E99"/>
    <w:rsid w:val="00711623"/>
    <w:rsid w:val="00776654"/>
    <w:rsid w:val="007E3A60"/>
    <w:rsid w:val="0080273D"/>
    <w:rsid w:val="009036D4"/>
    <w:rsid w:val="00906D1D"/>
    <w:rsid w:val="00910B28"/>
    <w:rsid w:val="00915B47"/>
    <w:rsid w:val="009970D1"/>
    <w:rsid w:val="009B57DF"/>
    <w:rsid w:val="00A34200"/>
    <w:rsid w:val="00A5228A"/>
    <w:rsid w:val="00A7606C"/>
    <w:rsid w:val="00A96DF1"/>
    <w:rsid w:val="00AC42A1"/>
    <w:rsid w:val="00B05593"/>
    <w:rsid w:val="00B52454"/>
    <w:rsid w:val="00B604E8"/>
    <w:rsid w:val="00B63E77"/>
    <w:rsid w:val="00BA1849"/>
    <w:rsid w:val="00BE1A33"/>
    <w:rsid w:val="00BF2662"/>
    <w:rsid w:val="00C40AA3"/>
    <w:rsid w:val="00C53A8E"/>
    <w:rsid w:val="00C6154D"/>
    <w:rsid w:val="00CA6EEE"/>
    <w:rsid w:val="00D76E00"/>
    <w:rsid w:val="00DA4F06"/>
    <w:rsid w:val="00DE1623"/>
    <w:rsid w:val="00EE35FD"/>
    <w:rsid w:val="00EF2811"/>
    <w:rsid w:val="00F9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C9AF3"/>
  <w15:chartTrackingRefBased/>
  <w15:docId w15:val="{064F969B-5450-43E8-8140-C3BA3615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96210"/>
    <w:rPr>
      <w:sz w:val="16"/>
      <w:szCs w:val="16"/>
    </w:rPr>
  </w:style>
  <w:style w:type="paragraph" w:styleId="CommentText">
    <w:name w:val="annotation text"/>
    <w:basedOn w:val="Normal"/>
    <w:link w:val="CommentTextChar"/>
    <w:uiPriority w:val="99"/>
    <w:semiHidden/>
    <w:unhideWhenUsed/>
    <w:rsid w:val="00F96210"/>
    <w:pPr>
      <w:spacing w:line="240" w:lineRule="auto"/>
    </w:pPr>
    <w:rPr>
      <w:sz w:val="20"/>
      <w:szCs w:val="20"/>
    </w:rPr>
  </w:style>
  <w:style w:type="character" w:customStyle="1" w:styleId="CommentTextChar">
    <w:name w:val="Comment Text Char"/>
    <w:basedOn w:val="DefaultParagraphFont"/>
    <w:link w:val="CommentText"/>
    <w:uiPriority w:val="99"/>
    <w:semiHidden/>
    <w:rsid w:val="00F96210"/>
    <w:rPr>
      <w:sz w:val="20"/>
      <w:szCs w:val="20"/>
    </w:rPr>
  </w:style>
  <w:style w:type="paragraph" w:styleId="CommentSubject">
    <w:name w:val="annotation subject"/>
    <w:basedOn w:val="CommentText"/>
    <w:next w:val="CommentText"/>
    <w:link w:val="CommentSubjectChar"/>
    <w:uiPriority w:val="99"/>
    <w:semiHidden/>
    <w:unhideWhenUsed/>
    <w:rsid w:val="00F96210"/>
    <w:rPr>
      <w:b/>
      <w:bCs/>
    </w:rPr>
  </w:style>
  <w:style w:type="character" w:customStyle="1" w:styleId="CommentSubjectChar">
    <w:name w:val="Comment Subject Char"/>
    <w:basedOn w:val="CommentTextChar"/>
    <w:link w:val="CommentSubject"/>
    <w:uiPriority w:val="99"/>
    <w:semiHidden/>
    <w:rsid w:val="00F96210"/>
    <w:rPr>
      <w:b/>
      <w:bCs/>
      <w:sz w:val="20"/>
      <w:szCs w:val="20"/>
    </w:rPr>
  </w:style>
  <w:style w:type="paragraph" w:styleId="BalloonText">
    <w:name w:val="Balloon Text"/>
    <w:basedOn w:val="Normal"/>
    <w:link w:val="BalloonTextChar"/>
    <w:uiPriority w:val="99"/>
    <w:semiHidden/>
    <w:unhideWhenUsed/>
    <w:rsid w:val="00F962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210"/>
    <w:rPr>
      <w:rFonts w:ascii="Segoe UI" w:hAnsi="Segoe UI" w:cs="Segoe UI"/>
      <w:sz w:val="18"/>
      <w:szCs w:val="18"/>
    </w:rPr>
  </w:style>
  <w:style w:type="paragraph" w:styleId="NormalWeb">
    <w:name w:val="Normal (Web)"/>
    <w:basedOn w:val="Normal"/>
    <w:uiPriority w:val="99"/>
    <w:semiHidden/>
    <w:unhideWhenUsed/>
    <w:rsid w:val="005D24F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24F8"/>
    <w:rPr>
      <w:color w:val="0000FF"/>
      <w:u w:val="single"/>
    </w:rPr>
  </w:style>
  <w:style w:type="character" w:customStyle="1" w:styleId="markedcontent">
    <w:name w:val="markedcontent"/>
    <w:basedOn w:val="DefaultParagraphFont"/>
    <w:rsid w:val="00EE35FD"/>
  </w:style>
  <w:style w:type="character" w:customStyle="1" w:styleId="oj-italic">
    <w:name w:val="oj-italic"/>
    <w:basedOn w:val="DefaultParagraphFont"/>
    <w:rsid w:val="00EE35FD"/>
  </w:style>
  <w:style w:type="table" w:styleId="TableGrid">
    <w:name w:val="Table Grid"/>
    <w:basedOn w:val="TableNormal"/>
    <w:uiPriority w:val="39"/>
    <w:rsid w:val="00457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57513"/>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457513"/>
    <w:rPr>
      <w:sz w:val="20"/>
      <w:szCs w:val="20"/>
      <w:lang w:val="en-GB"/>
    </w:rPr>
  </w:style>
  <w:style w:type="character" w:styleId="FootnoteReference">
    <w:name w:val="footnote reference"/>
    <w:basedOn w:val="DefaultParagraphFont"/>
    <w:uiPriority w:val="99"/>
    <w:semiHidden/>
    <w:unhideWhenUsed/>
    <w:rsid w:val="00457513"/>
    <w:rPr>
      <w:vertAlign w:val="superscript"/>
    </w:rPr>
  </w:style>
  <w:style w:type="paragraph" w:styleId="ListParagraph">
    <w:name w:val="List Paragraph"/>
    <w:basedOn w:val="Normal"/>
    <w:uiPriority w:val="34"/>
    <w:qFormat/>
    <w:rsid w:val="0080273D"/>
    <w:pPr>
      <w:ind w:left="720"/>
      <w:contextualSpacing/>
    </w:pPr>
  </w:style>
  <w:style w:type="character" w:customStyle="1" w:styleId="Bodytext3">
    <w:name w:val="Body text (3)_"/>
    <w:basedOn w:val="DefaultParagraphFont"/>
    <w:link w:val="Bodytext30"/>
    <w:rsid w:val="000F1898"/>
    <w:rPr>
      <w:rFonts w:ascii="Arial" w:eastAsia="Arial" w:hAnsi="Arial" w:cs="Arial"/>
      <w:i/>
      <w:iCs/>
      <w:color w:val="1E7664"/>
      <w:sz w:val="18"/>
      <w:szCs w:val="18"/>
      <w:u w:val="single"/>
      <w:shd w:val="clear" w:color="auto" w:fill="FFFFFF"/>
    </w:rPr>
  </w:style>
  <w:style w:type="paragraph" w:customStyle="1" w:styleId="Bodytext30">
    <w:name w:val="Body text (3)"/>
    <w:basedOn w:val="Normal"/>
    <w:link w:val="Bodytext3"/>
    <w:rsid w:val="000F1898"/>
    <w:pPr>
      <w:widowControl w:val="0"/>
      <w:shd w:val="clear" w:color="auto" w:fill="FFFFFF"/>
      <w:spacing w:after="20" w:line="240" w:lineRule="auto"/>
    </w:pPr>
    <w:rPr>
      <w:rFonts w:ascii="Arial" w:eastAsia="Arial" w:hAnsi="Arial" w:cs="Arial"/>
      <w:i/>
      <w:iCs/>
      <w:color w:val="1E7664"/>
      <w:sz w:val="18"/>
      <w:szCs w:val="18"/>
      <w:u w:val="single"/>
    </w:rPr>
  </w:style>
  <w:style w:type="paragraph" w:styleId="Header">
    <w:name w:val="header"/>
    <w:basedOn w:val="Normal"/>
    <w:link w:val="HeaderChar"/>
    <w:uiPriority w:val="99"/>
    <w:unhideWhenUsed/>
    <w:rsid w:val="00AC42A1"/>
    <w:pPr>
      <w:tabs>
        <w:tab w:val="center" w:pos="4703"/>
        <w:tab w:val="right" w:pos="9406"/>
      </w:tabs>
      <w:spacing w:after="0" w:line="240" w:lineRule="auto"/>
    </w:pPr>
  </w:style>
  <w:style w:type="character" w:customStyle="1" w:styleId="HeaderChar">
    <w:name w:val="Header Char"/>
    <w:basedOn w:val="DefaultParagraphFont"/>
    <w:link w:val="Header"/>
    <w:uiPriority w:val="99"/>
    <w:rsid w:val="00AC42A1"/>
  </w:style>
  <w:style w:type="paragraph" w:styleId="Footer">
    <w:name w:val="footer"/>
    <w:basedOn w:val="Normal"/>
    <w:link w:val="FooterChar"/>
    <w:uiPriority w:val="99"/>
    <w:unhideWhenUsed/>
    <w:rsid w:val="00AC42A1"/>
    <w:pPr>
      <w:tabs>
        <w:tab w:val="center" w:pos="4703"/>
        <w:tab w:val="right" w:pos="9406"/>
      </w:tabs>
      <w:spacing w:after="0" w:line="240" w:lineRule="auto"/>
    </w:pPr>
  </w:style>
  <w:style w:type="character" w:customStyle="1" w:styleId="FooterChar">
    <w:name w:val="Footer Char"/>
    <w:basedOn w:val="DefaultParagraphFont"/>
    <w:link w:val="Footer"/>
    <w:uiPriority w:val="99"/>
    <w:rsid w:val="00AC4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0242">
      <w:bodyDiv w:val="1"/>
      <w:marLeft w:val="0"/>
      <w:marRight w:val="0"/>
      <w:marTop w:val="0"/>
      <w:marBottom w:val="0"/>
      <w:divBdr>
        <w:top w:val="none" w:sz="0" w:space="0" w:color="auto"/>
        <w:left w:val="none" w:sz="0" w:space="0" w:color="auto"/>
        <w:bottom w:val="none" w:sz="0" w:space="0" w:color="auto"/>
        <w:right w:val="none" w:sz="0" w:space="0" w:color="auto"/>
      </w:divBdr>
    </w:div>
    <w:div w:id="38358968">
      <w:bodyDiv w:val="1"/>
      <w:marLeft w:val="0"/>
      <w:marRight w:val="0"/>
      <w:marTop w:val="0"/>
      <w:marBottom w:val="0"/>
      <w:divBdr>
        <w:top w:val="none" w:sz="0" w:space="0" w:color="auto"/>
        <w:left w:val="none" w:sz="0" w:space="0" w:color="auto"/>
        <w:bottom w:val="none" w:sz="0" w:space="0" w:color="auto"/>
        <w:right w:val="none" w:sz="0" w:space="0" w:color="auto"/>
      </w:divBdr>
    </w:div>
    <w:div w:id="56056927">
      <w:bodyDiv w:val="1"/>
      <w:marLeft w:val="0"/>
      <w:marRight w:val="0"/>
      <w:marTop w:val="0"/>
      <w:marBottom w:val="0"/>
      <w:divBdr>
        <w:top w:val="none" w:sz="0" w:space="0" w:color="auto"/>
        <w:left w:val="none" w:sz="0" w:space="0" w:color="auto"/>
        <w:bottom w:val="none" w:sz="0" w:space="0" w:color="auto"/>
        <w:right w:val="none" w:sz="0" w:space="0" w:color="auto"/>
      </w:divBdr>
    </w:div>
    <w:div w:id="130950556">
      <w:bodyDiv w:val="1"/>
      <w:marLeft w:val="0"/>
      <w:marRight w:val="0"/>
      <w:marTop w:val="0"/>
      <w:marBottom w:val="0"/>
      <w:divBdr>
        <w:top w:val="none" w:sz="0" w:space="0" w:color="auto"/>
        <w:left w:val="none" w:sz="0" w:space="0" w:color="auto"/>
        <w:bottom w:val="none" w:sz="0" w:space="0" w:color="auto"/>
        <w:right w:val="none" w:sz="0" w:space="0" w:color="auto"/>
      </w:divBdr>
    </w:div>
    <w:div w:id="201944460">
      <w:bodyDiv w:val="1"/>
      <w:marLeft w:val="0"/>
      <w:marRight w:val="0"/>
      <w:marTop w:val="0"/>
      <w:marBottom w:val="0"/>
      <w:divBdr>
        <w:top w:val="none" w:sz="0" w:space="0" w:color="auto"/>
        <w:left w:val="none" w:sz="0" w:space="0" w:color="auto"/>
        <w:bottom w:val="none" w:sz="0" w:space="0" w:color="auto"/>
        <w:right w:val="none" w:sz="0" w:space="0" w:color="auto"/>
      </w:divBdr>
    </w:div>
    <w:div w:id="410276223">
      <w:bodyDiv w:val="1"/>
      <w:marLeft w:val="0"/>
      <w:marRight w:val="0"/>
      <w:marTop w:val="0"/>
      <w:marBottom w:val="0"/>
      <w:divBdr>
        <w:top w:val="none" w:sz="0" w:space="0" w:color="auto"/>
        <w:left w:val="none" w:sz="0" w:space="0" w:color="auto"/>
        <w:bottom w:val="none" w:sz="0" w:space="0" w:color="auto"/>
        <w:right w:val="none" w:sz="0" w:space="0" w:color="auto"/>
      </w:divBdr>
    </w:div>
    <w:div w:id="595408892">
      <w:bodyDiv w:val="1"/>
      <w:marLeft w:val="0"/>
      <w:marRight w:val="0"/>
      <w:marTop w:val="0"/>
      <w:marBottom w:val="0"/>
      <w:divBdr>
        <w:top w:val="none" w:sz="0" w:space="0" w:color="auto"/>
        <w:left w:val="none" w:sz="0" w:space="0" w:color="auto"/>
        <w:bottom w:val="none" w:sz="0" w:space="0" w:color="auto"/>
        <w:right w:val="none" w:sz="0" w:space="0" w:color="auto"/>
      </w:divBdr>
    </w:div>
    <w:div w:id="702024801">
      <w:bodyDiv w:val="1"/>
      <w:marLeft w:val="0"/>
      <w:marRight w:val="0"/>
      <w:marTop w:val="0"/>
      <w:marBottom w:val="0"/>
      <w:divBdr>
        <w:top w:val="none" w:sz="0" w:space="0" w:color="auto"/>
        <w:left w:val="none" w:sz="0" w:space="0" w:color="auto"/>
        <w:bottom w:val="none" w:sz="0" w:space="0" w:color="auto"/>
        <w:right w:val="none" w:sz="0" w:space="0" w:color="auto"/>
      </w:divBdr>
    </w:div>
    <w:div w:id="708797093">
      <w:bodyDiv w:val="1"/>
      <w:marLeft w:val="0"/>
      <w:marRight w:val="0"/>
      <w:marTop w:val="0"/>
      <w:marBottom w:val="0"/>
      <w:divBdr>
        <w:top w:val="none" w:sz="0" w:space="0" w:color="auto"/>
        <w:left w:val="none" w:sz="0" w:space="0" w:color="auto"/>
        <w:bottom w:val="none" w:sz="0" w:space="0" w:color="auto"/>
        <w:right w:val="none" w:sz="0" w:space="0" w:color="auto"/>
      </w:divBdr>
    </w:div>
    <w:div w:id="1066877633">
      <w:bodyDiv w:val="1"/>
      <w:marLeft w:val="0"/>
      <w:marRight w:val="0"/>
      <w:marTop w:val="0"/>
      <w:marBottom w:val="0"/>
      <w:divBdr>
        <w:top w:val="none" w:sz="0" w:space="0" w:color="auto"/>
        <w:left w:val="none" w:sz="0" w:space="0" w:color="auto"/>
        <w:bottom w:val="none" w:sz="0" w:space="0" w:color="auto"/>
        <w:right w:val="none" w:sz="0" w:space="0" w:color="auto"/>
      </w:divBdr>
    </w:div>
    <w:div w:id="1192572151">
      <w:bodyDiv w:val="1"/>
      <w:marLeft w:val="0"/>
      <w:marRight w:val="0"/>
      <w:marTop w:val="0"/>
      <w:marBottom w:val="0"/>
      <w:divBdr>
        <w:top w:val="none" w:sz="0" w:space="0" w:color="auto"/>
        <w:left w:val="none" w:sz="0" w:space="0" w:color="auto"/>
        <w:bottom w:val="none" w:sz="0" w:space="0" w:color="auto"/>
        <w:right w:val="none" w:sz="0" w:space="0" w:color="auto"/>
      </w:divBdr>
    </w:div>
    <w:div w:id="1224024797">
      <w:bodyDiv w:val="1"/>
      <w:marLeft w:val="0"/>
      <w:marRight w:val="0"/>
      <w:marTop w:val="0"/>
      <w:marBottom w:val="0"/>
      <w:divBdr>
        <w:top w:val="none" w:sz="0" w:space="0" w:color="auto"/>
        <w:left w:val="none" w:sz="0" w:space="0" w:color="auto"/>
        <w:bottom w:val="none" w:sz="0" w:space="0" w:color="auto"/>
        <w:right w:val="none" w:sz="0" w:space="0" w:color="auto"/>
      </w:divBdr>
    </w:div>
    <w:div w:id="1257207166">
      <w:bodyDiv w:val="1"/>
      <w:marLeft w:val="0"/>
      <w:marRight w:val="0"/>
      <w:marTop w:val="0"/>
      <w:marBottom w:val="0"/>
      <w:divBdr>
        <w:top w:val="none" w:sz="0" w:space="0" w:color="auto"/>
        <w:left w:val="none" w:sz="0" w:space="0" w:color="auto"/>
        <w:bottom w:val="none" w:sz="0" w:space="0" w:color="auto"/>
        <w:right w:val="none" w:sz="0" w:space="0" w:color="auto"/>
      </w:divBdr>
    </w:div>
    <w:div w:id="1410081819">
      <w:bodyDiv w:val="1"/>
      <w:marLeft w:val="0"/>
      <w:marRight w:val="0"/>
      <w:marTop w:val="0"/>
      <w:marBottom w:val="0"/>
      <w:divBdr>
        <w:top w:val="none" w:sz="0" w:space="0" w:color="auto"/>
        <w:left w:val="none" w:sz="0" w:space="0" w:color="auto"/>
        <w:bottom w:val="none" w:sz="0" w:space="0" w:color="auto"/>
        <w:right w:val="none" w:sz="0" w:space="0" w:color="auto"/>
      </w:divBdr>
    </w:div>
    <w:div w:id="1419017655">
      <w:bodyDiv w:val="1"/>
      <w:marLeft w:val="0"/>
      <w:marRight w:val="0"/>
      <w:marTop w:val="0"/>
      <w:marBottom w:val="0"/>
      <w:divBdr>
        <w:top w:val="none" w:sz="0" w:space="0" w:color="auto"/>
        <w:left w:val="none" w:sz="0" w:space="0" w:color="auto"/>
        <w:bottom w:val="none" w:sz="0" w:space="0" w:color="auto"/>
        <w:right w:val="none" w:sz="0" w:space="0" w:color="auto"/>
      </w:divBdr>
    </w:div>
    <w:div w:id="1455755695">
      <w:bodyDiv w:val="1"/>
      <w:marLeft w:val="0"/>
      <w:marRight w:val="0"/>
      <w:marTop w:val="0"/>
      <w:marBottom w:val="0"/>
      <w:divBdr>
        <w:top w:val="none" w:sz="0" w:space="0" w:color="auto"/>
        <w:left w:val="none" w:sz="0" w:space="0" w:color="auto"/>
        <w:bottom w:val="none" w:sz="0" w:space="0" w:color="auto"/>
        <w:right w:val="none" w:sz="0" w:space="0" w:color="auto"/>
      </w:divBdr>
    </w:div>
    <w:div w:id="1882286447">
      <w:bodyDiv w:val="1"/>
      <w:marLeft w:val="0"/>
      <w:marRight w:val="0"/>
      <w:marTop w:val="0"/>
      <w:marBottom w:val="0"/>
      <w:divBdr>
        <w:top w:val="none" w:sz="0" w:space="0" w:color="auto"/>
        <w:left w:val="none" w:sz="0" w:space="0" w:color="auto"/>
        <w:bottom w:val="none" w:sz="0" w:space="0" w:color="auto"/>
        <w:right w:val="none" w:sz="0" w:space="0" w:color="auto"/>
      </w:divBdr>
    </w:div>
    <w:div w:id="1912109202">
      <w:bodyDiv w:val="1"/>
      <w:marLeft w:val="0"/>
      <w:marRight w:val="0"/>
      <w:marTop w:val="0"/>
      <w:marBottom w:val="0"/>
      <w:divBdr>
        <w:top w:val="none" w:sz="0" w:space="0" w:color="auto"/>
        <w:left w:val="none" w:sz="0" w:space="0" w:color="auto"/>
        <w:bottom w:val="none" w:sz="0" w:space="0" w:color="auto"/>
        <w:right w:val="none" w:sz="0" w:space="0" w:color="auto"/>
      </w:divBdr>
    </w:div>
    <w:div w:id="1967620088">
      <w:bodyDiv w:val="1"/>
      <w:marLeft w:val="0"/>
      <w:marRight w:val="0"/>
      <w:marTop w:val="0"/>
      <w:marBottom w:val="0"/>
      <w:divBdr>
        <w:top w:val="none" w:sz="0" w:space="0" w:color="auto"/>
        <w:left w:val="none" w:sz="0" w:space="0" w:color="auto"/>
        <w:bottom w:val="none" w:sz="0" w:space="0" w:color="auto"/>
        <w:right w:val="none" w:sz="0" w:space="0" w:color="auto"/>
      </w:divBdr>
    </w:div>
    <w:div w:id="2059501481">
      <w:bodyDiv w:val="1"/>
      <w:marLeft w:val="0"/>
      <w:marRight w:val="0"/>
      <w:marTop w:val="0"/>
      <w:marBottom w:val="0"/>
      <w:divBdr>
        <w:top w:val="none" w:sz="0" w:space="0" w:color="auto"/>
        <w:left w:val="none" w:sz="0" w:space="0" w:color="auto"/>
        <w:bottom w:val="none" w:sz="0" w:space="0" w:color="auto"/>
        <w:right w:val="none" w:sz="0" w:space="0" w:color="auto"/>
      </w:divBdr>
    </w:div>
    <w:div w:id="206032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N/ALL/;ELX_SESSIONID=FZMjThLLzfxmmMCQGp2Y1s2d3TjwtD8QS3pqdkhXZbwqGwlgY9KN!2064651424?uri=CELEX:32010L0031" TargetMode="External"/><Relationship Id="rId13" Type="http://schemas.openxmlformats.org/officeDocument/2006/relationships/hyperlink" Target="https://effis.jrc.ec.europa.eu/applications/data-and-services"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teo.bg/bg" TargetMode="External"/><Relationship Id="rId17" Type="http://schemas.openxmlformats.org/officeDocument/2006/relationships/hyperlink" Target="https://edo.jrc.ec.europa.eu/gdo/php/index.php?id=2112" TargetMode="External"/><Relationship Id="rId2" Type="http://schemas.openxmlformats.org/officeDocument/2006/relationships/numbering" Target="numbering.xml"/><Relationship Id="rId16" Type="http://schemas.openxmlformats.org/officeDocument/2006/relationships/hyperlink" Target="https://edo.jrc.ec.europa.eu/edov2/php/index.php?id=10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abd.bg/content/en/" TargetMode="External"/><Relationship Id="rId5" Type="http://schemas.openxmlformats.org/officeDocument/2006/relationships/webSettings" Target="webSettings.xml"/><Relationship Id="rId15" Type="http://schemas.openxmlformats.org/officeDocument/2006/relationships/hyperlink" Target="http://nationalsoils.com/%D0%BA%D0%B0%D1%80%D1%82%D0%B8/" TargetMode="External"/><Relationship Id="rId10" Type="http://schemas.openxmlformats.org/officeDocument/2006/relationships/hyperlink" Target="https://energy.ec.europa.eu/topics/renewable-energy/renewable-energy-directive-targets-and-rules/renewable-energy-directive_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ur-lex.europa.eu/legal-content/EN/TXT/?qid=1399375464230&amp;uri=CELEX:32012L0027" TargetMode="External"/><Relationship Id="rId14" Type="http://schemas.openxmlformats.org/officeDocument/2006/relationships/hyperlink" Target="http://gis.mrrb.government.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3BFEE-CF88-46F7-AE03-AB695DD52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4309</Words>
  <Characters>24564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Petkova Petkova</dc:creator>
  <cp:keywords/>
  <dc:description/>
  <cp:lastModifiedBy>Nina Petkova Petkova</cp:lastModifiedBy>
  <cp:revision>2</cp:revision>
  <dcterms:created xsi:type="dcterms:W3CDTF">2023-04-11T12:43:00Z</dcterms:created>
  <dcterms:modified xsi:type="dcterms:W3CDTF">2023-04-11T12:43:00Z</dcterms:modified>
</cp:coreProperties>
</file>